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05E1A" w14:textId="3E345737" w:rsidR="00301D18" w:rsidRPr="00301D18" w:rsidRDefault="00301D18" w:rsidP="00301D18">
      <w:pPr>
        <w:pStyle w:val="Heading1"/>
        <w:keepNext w:val="0"/>
        <w:keepLines w:val="0"/>
        <w:suppressAutoHyphens/>
        <w:spacing w:after="0"/>
        <w:jc w:val="left"/>
        <w:rPr>
          <w:sz w:val="34"/>
          <w:szCs w:val="34"/>
          <w:u w:val="single"/>
        </w:rPr>
      </w:pPr>
      <w:bookmarkStart w:id="0" w:name="_Toc201680129"/>
      <w:bookmarkStart w:id="1" w:name="_Toc201842891"/>
      <w:bookmarkStart w:id="2" w:name="_Toc209712214"/>
      <w:bookmarkStart w:id="3" w:name="_Toc210062680"/>
      <w:bookmarkStart w:id="4" w:name="_Toc221875948"/>
      <w:bookmarkStart w:id="5" w:name="_Toc221876066"/>
      <w:bookmarkStart w:id="6" w:name="_Toc221876417"/>
      <w:bookmarkStart w:id="7" w:name="_Toc221899914"/>
      <w:bookmarkStart w:id="8" w:name="_Toc223961859"/>
      <w:bookmarkStart w:id="9" w:name="_Toc223963816"/>
      <w:bookmarkStart w:id="10" w:name="_Toc223965717"/>
      <w:bookmarkStart w:id="11" w:name="_Toc223967253"/>
      <w:bookmarkStart w:id="12" w:name="_Toc224291317"/>
      <w:bookmarkStart w:id="13" w:name="_Toc233886896"/>
      <w:bookmarkStart w:id="14" w:name="_Toc235190055"/>
      <w:bookmarkStart w:id="15" w:name="_Toc240715053"/>
      <w:bookmarkStart w:id="16" w:name="_Toc241750855"/>
      <w:bookmarkStart w:id="17" w:name="_Toc242095184"/>
      <w:bookmarkStart w:id="18" w:name="_Toc242711218"/>
      <w:r w:rsidRPr="00301D18">
        <w:rPr>
          <w:sz w:val="34"/>
          <w:szCs w:val="34"/>
          <w:u w:val="single"/>
        </w:rPr>
        <w:t>A Public Health Failure: The Lack of Disability Clinical Care and Competency Training of Medical Professionals</w:t>
      </w:r>
    </w:p>
    <w:p w14:paraId="7A610E17" w14:textId="77777777" w:rsidR="00301D18" w:rsidRDefault="00301D18" w:rsidP="00E31AD0">
      <w:pPr>
        <w:pStyle w:val="Heading1"/>
        <w:keepNext w:val="0"/>
        <w:keepLines w:val="0"/>
        <w:suppressAutoHyphens/>
        <w:spacing w:after="0"/>
      </w:pPr>
    </w:p>
    <w:p w14:paraId="0CC053AC" w14:textId="77777777" w:rsidR="00301D18" w:rsidRDefault="00301D18" w:rsidP="00E31AD0">
      <w:pPr>
        <w:pStyle w:val="Heading1"/>
        <w:keepNext w:val="0"/>
        <w:keepLines w:val="0"/>
        <w:suppressAutoHyphens/>
        <w:spacing w:after="0"/>
      </w:pPr>
    </w:p>
    <w:p w14:paraId="19A96337" w14:textId="77777777" w:rsidR="00301D18" w:rsidRDefault="00301D18" w:rsidP="00E31AD0">
      <w:pPr>
        <w:pStyle w:val="Heading1"/>
        <w:keepNext w:val="0"/>
        <w:keepLines w:val="0"/>
        <w:suppressAutoHyphens/>
        <w:spacing w:after="0"/>
      </w:pPr>
    </w:p>
    <w:p w14:paraId="22DFB0C6" w14:textId="77777777" w:rsidR="00301D18" w:rsidRDefault="00301D18" w:rsidP="00E31AD0">
      <w:pPr>
        <w:pStyle w:val="Heading1"/>
        <w:keepNext w:val="0"/>
        <w:keepLines w:val="0"/>
        <w:suppressAutoHyphens/>
        <w:spacing w:after="0"/>
      </w:pPr>
    </w:p>
    <w:p w14:paraId="1FA6DB58" w14:textId="77777777" w:rsidR="00301D18" w:rsidRDefault="00301D18" w:rsidP="00E31AD0">
      <w:pPr>
        <w:pStyle w:val="Heading1"/>
        <w:keepNext w:val="0"/>
        <w:keepLines w:val="0"/>
        <w:suppressAutoHyphens/>
        <w:spacing w:after="0"/>
      </w:pPr>
    </w:p>
    <w:p w14:paraId="56DE5DA3" w14:textId="7A8D73F8" w:rsidR="00B972FD" w:rsidRPr="00E31AD0" w:rsidRDefault="00106C0B" w:rsidP="00E31AD0">
      <w:pPr>
        <w:pStyle w:val="Heading1"/>
        <w:keepNext w:val="0"/>
        <w:keepLines w:val="0"/>
        <w:suppressAutoHyphens/>
        <w:spacing w:after="0"/>
        <w:rPr>
          <w:lang w:bidi="en-US"/>
        </w:rPr>
      </w:pPr>
      <w:r w:rsidRPr="00E31AD0">
        <w:t>National Council on Disability Members and Staff</w:t>
      </w:r>
      <w:bookmarkStart w:id="19" w:name="_Toc221875949"/>
      <w:bookmarkStart w:id="20" w:name="_Toc221876067"/>
      <w:bookmarkStart w:id="21" w:name="_Toc22187641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2BBB1D3E" w14:textId="77777777" w:rsidR="00106C0B" w:rsidRPr="00E31AD0" w:rsidRDefault="00106C0B" w:rsidP="00E31AD0">
      <w:pPr>
        <w:pStyle w:val="Heading2"/>
        <w:keepNext w:val="0"/>
        <w:keepLines w:val="0"/>
        <w:suppressAutoHyphens/>
        <w:jc w:val="center"/>
        <w:rPr>
          <w:lang w:bidi="en-US"/>
        </w:rPr>
      </w:pPr>
      <w:bookmarkStart w:id="22" w:name="_Toc221899915"/>
      <w:bookmarkStart w:id="23" w:name="_Toc223961860"/>
      <w:bookmarkStart w:id="24" w:name="_Toc223963817"/>
      <w:bookmarkStart w:id="25" w:name="_Toc223965718"/>
      <w:bookmarkStart w:id="26" w:name="_Toc223967254"/>
      <w:bookmarkStart w:id="27" w:name="_Toc224291318"/>
      <w:bookmarkStart w:id="28" w:name="_Toc233886897"/>
      <w:bookmarkStart w:id="29" w:name="_Toc235190056"/>
      <w:bookmarkStart w:id="30" w:name="_Toc240715054"/>
      <w:bookmarkStart w:id="31" w:name="_Toc241750856"/>
      <w:bookmarkStart w:id="32" w:name="_Toc242095185"/>
      <w:bookmarkStart w:id="33" w:name="_Toc242711219"/>
      <w:r w:rsidRPr="00E31AD0">
        <w:rPr>
          <w:lang w:bidi="en-US"/>
        </w:rPr>
        <w:t>Members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445DA3FF" w14:textId="001676E9" w:rsidR="006E0BC8" w:rsidRPr="00E31AD0" w:rsidRDefault="00764FD3" w:rsidP="00E31AD0">
      <w:pPr>
        <w:suppressAutoHyphens/>
        <w:spacing w:after="0"/>
        <w:jc w:val="center"/>
        <w:rPr>
          <w:rFonts w:cs="Arial"/>
        </w:rPr>
      </w:pPr>
      <w:r w:rsidRPr="00E31AD0">
        <w:rPr>
          <w:rFonts w:cs="Arial"/>
        </w:rPr>
        <w:t>Neil Romano</w:t>
      </w:r>
      <w:r w:rsidR="006E0BC8" w:rsidRPr="00E31AD0">
        <w:rPr>
          <w:rFonts w:cs="Arial"/>
        </w:rPr>
        <w:t>, Acting Chair</w:t>
      </w:r>
      <w:r w:rsidR="0060363B" w:rsidRPr="00E31AD0">
        <w:rPr>
          <w:rFonts w:cs="Arial"/>
        </w:rPr>
        <w:t>man</w:t>
      </w:r>
    </w:p>
    <w:p w14:paraId="57694A9F" w14:textId="77777777" w:rsidR="00106C0B" w:rsidRPr="00E31AD0" w:rsidRDefault="00106C0B" w:rsidP="00E31AD0">
      <w:pPr>
        <w:suppressAutoHyphens/>
        <w:spacing w:after="0"/>
        <w:jc w:val="center"/>
        <w:rPr>
          <w:rFonts w:cs="Arial"/>
        </w:rPr>
      </w:pPr>
      <w:r w:rsidRPr="00E31AD0">
        <w:rPr>
          <w:rFonts w:cs="Arial"/>
        </w:rPr>
        <w:t>Hoskie Benally Jr.</w:t>
      </w:r>
    </w:p>
    <w:p w14:paraId="7D609F8F" w14:textId="77777777" w:rsidR="00106C0B" w:rsidRPr="00E31AD0" w:rsidRDefault="00106C0B" w:rsidP="00E31AD0">
      <w:pPr>
        <w:suppressAutoHyphens/>
        <w:spacing w:after="0"/>
        <w:jc w:val="center"/>
        <w:rPr>
          <w:rFonts w:cs="Arial"/>
        </w:rPr>
      </w:pPr>
      <w:r w:rsidRPr="00E31AD0">
        <w:rPr>
          <w:rFonts w:cs="Arial"/>
        </w:rPr>
        <w:t>Sascha Bittner</w:t>
      </w:r>
    </w:p>
    <w:p w14:paraId="7ED61D11" w14:textId="77777777" w:rsidR="00106C0B" w:rsidRPr="00E31AD0" w:rsidRDefault="00106C0B" w:rsidP="00E31AD0">
      <w:pPr>
        <w:suppressAutoHyphens/>
        <w:spacing w:after="0"/>
        <w:jc w:val="center"/>
        <w:rPr>
          <w:rFonts w:cs="Arial"/>
        </w:rPr>
      </w:pPr>
      <w:r w:rsidRPr="00E31AD0">
        <w:rPr>
          <w:rFonts w:cs="Arial"/>
        </w:rPr>
        <w:t>Theo W. Braddy</w:t>
      </w:r>
    </w:p>
    <w:p w14:paraId="77261992" w14:textId="77777777" w:rsidR="00075031" w:rsidRPr="00E31AD0" w:rsidRDefault="00075031" w:rsidP="00E31AD0">
      <w:pPr>
        <w:suppressAutoHyphens/>
        <w:spacing w:after="0"/>
        <w:jc w:val="center"/>
        <w:rPr>
          <w:rFonts w:cs="Arial"/>
        </w:rPr>
      </w:pPr>
      <w:r w:rsidRPr="00E31AD0">
        <w:rPr>
          <w:rFonts w:cs="Arial"/>
        </w:rPr>
        <w:t>Brian Patchett</w:t>
      </w:r>
    </w:p>
    <w:p w14:paraId="0BAFF4BF" w14:textId="77777777" w:rsidR="00106C0B" w:rsidRPr="00E31AD0" w:rsidRDefault="00106C0B" w:rsidP="00E31AD0">
      <w:pPr>
        <w:suppressAutoHyphens/>
        <w:spacing w:after="0"/>
        <w:jc w:val="center"/>
        <w:rPr>
          <w:rFonts w:cs="Arial"/>
        </w:rPr>
      </w:pPr>
      <w:r w:rsidRPr="00E31AD0">
        <w:rPr>
          <w:rFonts w:cs="Arial"/>
        </w:rPr>
        <w:t>Kimberly Hill Ridley</w:t>
      </w:r>
    </w:p>
    <w:p w14:paraId="784CFCDB" w14:textId="77777777" w:rsidR="00106C0B" w:rsidRPr="00E31AD0" w:rsidRDefault="00106C0B" w:rsidP="00E31AD0">
      <w:pPr>
        <w:suppressAutoHyphens/>
        <w:spacing w:after="0"/>
        <w:jc w:val="center"/>
        <w:rPr>
          <w:rFonts w:cs="Arial"/>
        </w:rPr>
      </w:pPr>
      <w:r w:rsidRPr="00E31AD0">
        <w:rPr>
          <w:rFonts w:cs="Arial"/>
        </w:rPr>
        <w:t>Risa Jaz Rifkind</w:t>
      </w:r>
    </w:p>
    <w:p w14:paraId="3C8D439D" w14:textId="77777777" w:rsidR="00106C0B" w:rsidRPr="00E31AD0" w:rsidRDefault="00106C0B" w:rsidP="00E31AD0">
      <w:pPr>
        <w:pStyle w:val="Heading2"/>
        <w:keepNext w:val="0"/>
        <w:keepLines w:val="0"/>
        <w:suppressAutoHyphens/>
        <w:spacing w:before="200"/>
        <w:jc w:val="center"/>
        <w:rPr>
          <w:lang w:bidi="en-US"/>
        </w:rPr>
      </w:pPr>
      <w:bookmarkStart w:id="34" w:name="_Toc221875950"/>
      <w:bookmarkStart w:id="35" w:name="_Toc221876068"/>
      <w:bookmarkStart w:id="36" w:name="_Toc221876419"/>
      <w:bookmarkStart w:id="37" w:name="_Toc221899916"/>
      <w:bookmarkStart w:id="38" w:name="_Toc223961861"/>
      <w:bookmarkStart w:id="39" w:name="_Toc223963818"/>
      <w:bookmarkStart w:id="40" w:name="_Toc223965719"/>
      <w:bookmarkStart w:id="41" w:name="_Toc223967255"/>
      <w:bookmarkStart w:id="42" w:name="_Toc224291319"/>
      <w:bookmarkStart w:id="43" w:name="_Toc233886898"/>
      <w:bookmarkStart w:id="44" w:name="_Toc235190057"/>
      <w:bookmarkStart w:id="45" w:name="_Toc240715055"/>
      <w:bookmarkStart w:id="46" w:name="_Toc241750857"/>
      <w:bookmarkStart w:id="47" w:name="_Toc242095186"/>
      <w:bookmarkStart w:id="48" w:name="_Toc242711220"/>
      <w:r w:rsidRPr="00E31AD0">
        <w:rPr>
          <w:lang w:bidi="en-US"/>
        </w:rPr>
        <w:t>Staff</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1267A0CD" w14:textId="77777777" w:rsidR="00106C0B" w:rsidRPr="00E31AD0" w:rsidRDefault="00106C0B" w:rsidP="00E31AD0">
      <w:pPr>
        <w:suppressAutoHyphens/>
        <w:spacing w:after="0"/>
        <w:jc w:val="center"/>
        <w:rPr>
          <w:rFonts w:cs="Arial"/>
        </w:rPr>
      </w:pPr>
      <w:r w:rsidRPr="00E31AD0">
        <w:rPr>
          <w:rFonts w:cs="Arial"/>
        </w:rPr>
        <w:t>Ana Torres-Davis, Executive Director</w:t>
      </w:r>
    </w:p>
    <w:p w14:paraId="2C9085E1" w14:textId="77777777" w:rsidR="00106C0B" w:rsidRPr="00E31AD0" w:rsidRDefault="00106C0B" w:rsidP="00E31AD0">
      <w:pPr>
        <w:suppressAutoHyphens/>
        <w:spacing w:after="0"/>
        <w:jc w:val="center"/>
        <w:rPr>
          <w:rFonts w:cs="Arial"/>
        </w:rPr>
      </w:pPr>
      <w:r w:rsidRPr="00E31AD0">
        <w:rPr>
          <w:rFonts w:cs="Arial"/>
        </w:rPr>
        <w:t>Joan M. Durocher, General Counsel &amp; Director of Policy</w:t>
      </w:r>
    </w:p>
    <w:p w14:paraId="3F6CE56D" w14:textId="77777777" w:rsidR="00106C0B" w:rsidRPr="00E31AD0" w:rsidRDefault="00106C0B" w:rsidP="00E31AD0">
      <w:pPr>
        <w:suppressAutoHyphens/>
        <w:spacing w:after="0"/>
        <w:jc w:val="center"/>
        <w:rPr>
          <w:rFonts w:cs="Arial"/>
        </w:rPr>
      </w:pPr>
      <w:r w:rsidRPr="00E31AD0">
        <w:rPr>
          <w:rFonts w:cs="Arial"/>
        </w:rPr>
        <w:t>Anne C. Sommers McIntosh, Director of Legislative Affairs &amp; Outreach</w:t>
      </w:r>
    </w:p>
    <w:p w14:paraId="4FAA5486" w14:textId="77777777" w:rsidR="00106C0B" w:rsidRPr="00E31AD0" w:rsidRDefault="00106C0B" w:rsidP="00E31AD0">
      <w:pPr>
        <w:suppressAutoHyphens/>
        <w:spacing w:after="0"/>
        <w:jc w:val="center"/>
        <w:rPr>
          <w:rFonts w:cs="Arial"/>
        </w:rPr>
      </w:pPr>
      <w:r w:rsidRPr="00E31AD0">
        <w:rPr>
          <w:rFonts w:cs="Arial"/>
        </w:rPr>
        <w:t>Stacey S. Brown, Staff Assistant</w:t>
      </w:r>
    </w:p>
    <w:p w14:paraId="54796EEC" w14:textId="77777777" w:rsidR="00106C0B" w:rsidRPr="00E31AD0" w:rsidRDefault="00106C0B" w:rsidP="00E31AD0">
      <w:pPr>
        <w:suppressAutoHyphens/>
        <w:spacing w:after="0"/>
        <w:jc w:val="center"/>
        <w:rPr>
          <w:rFonts w:cs="Arial"/>
        </w:rPr>
      </w:pPr>
      <w:r w:rsidRPr="00E31AD0">
        <w:rPr>
          <w:rFonts w:cs="Arial"/>
        </w:rPr>
        <w:t>Kimie Eacobacci, Legislative Affairs Specialist</w:t>
      </w:r>
    </w:p>
    <w:p w14:paraId="7E0BB641" w14:textId="1E8D46AF" w:rsidR="007C3829" w:rsidRPr="00E31AD0" w:rsidRDefault="007C3829" w:rsidP="00E31AD0">
      <w:pPr>
        <w:suppressAutoHyphens/>
        <w:spacing w:after="0"/>
        <w:jc w:val="center"/>
        <w:rPr>
          <w:rFonts w:cs="Arial"/>
        </w:rPr>
      </w:pPr>
      <w:r w:rsidRPr="00E31AD0">
        <w:rPr>
          <w:rFonts w:cs="Arial"/>
        </w:rPr>
        <w:t>Anja K. Herrman, Policy Intern</w:t>
      </w:r>
    </w:p>
    <w:p w14:paraId="51A13032" w14:textId="77777777" w:rsidR="00106C0B" w:rsidRPr="00E31AD0" w:rsidRDefault="00106C0B" w:rsidP="00E31AD0">
      <w:pPr>
        <w:suppressAutoHyphens/>
        <w:spacing w:after="0"/>
        <w:jc w:val="center"/>
        <w:rPr>
          <w:rFonts w:cs="Arial"/>
        </w:rPr>
      </w:pPr>
      <w:proofErr w:type="spellStart"/>
      <w:r w:rsidRPr="00E31AD0">
        <w:rPr>
          <w:rFonts w:cs="Arial"/>
        </w:rPr>
        <w:t>Netterie</w:t>
      </w:r>
      <w:proofErr w:type="spellEnd"/>
      <w:r w:rsidRPr="00E31AD0">
        <w:rPr>
          <w:rFonts w:cs="Arial"/>
        </w:rPr>
        <w:t xml:space="preserve"> Lewis, Administrative Support Specialist</w:t>
      </w:r>
    </w:p>
    <w:p w14:paraId="2FC2CD8D" w14:textId="77777777" w:rsidR="00106C0B" w:rsidRPr="00E31AD0" w:rsidRDefault="00106C0B" w:rsidP="00E31AD0">
      <w:pPr>
        <w:suppressAutoHyphens/>
        <w:spacing w:after="0"/>
        <w:jc w:val="center"/>
        <w:rPr>
          <w:rFonts w:cs="Arial"/>
        </w:rPr>
      </w:pPr>
      <w:r w:rsidRPr="00E31AD0">
        <w:rPr>
          <w:rFonts w:cs="Arial"/>
        </w:rPr>
        <w:t>Amy Nicholas, Senior Attorney Advisor</w:t>
      </w:r>
    </w:p>
    <w:p w14:paraId="5F545677" w14:textId="77777777" w:rsidR="00106C0B" w:rsidRPr="00E31AD0" w:rsidRDefault="00106C0B" w:rsidP="00E31AD0">
      <w:pPr>
        <w:suppressAutoHyphens/>
        <w:spacing w:after="0"/>
        <w:jc w:val="center"/>
        <w:rPr>
          <w:rFonts w:cs="Arial"/>
        </w:rPr>
      </w:pPr>
      <w:r w:rsidRPr="00E31AD0">
        <w:rPr>
          <w:rFonts w:cs="Arial"/>
        </w:rPr>
        <w:t>Nic</w:t>
      </w:r>
      <w:r w:rsidR="00B12167" w:rsidRPr="00E31AD0">
        <w:rPr>
          <w:rFonts w:cs="Arial"/>
        </w:rPr>
        <w:t>holas</w:t>
      </w:r>
      <w:r w:rsidRPr="00E31AD0">
        <w:rPr>
          <w:rFonts w:cs="Arial"/>
        </w:rPr>
        <w:t xml:space="preserve"> Sabula, Public Affairs Specialist</w:t>
      </w:r>
    </w:p>
    <w:p w14:paraId="4185EE91" w14:textId="77777777" w:rsidR="00106C0B" w:rsidRPr="00E31AD0" w:rsidRDefault="00106C0B" w:rsidP="00E31AD0">
      <w:pPr>
        <w:suppressAutoHyphens/>
        <w:spacing w:after="0"/>
        <w:jc w:val="center"/>
        <w:rPr>
          <w:rFonts w:cs="Arial"/>
        </w:rPr>
      </w:pPr>
      <w:r w:rsidRPr="00E31AD0">
        <w:rPr>
          <w:rFonts w:cs="Arial"/>
        </w:rPr>
        <w:t>Amged M. Soliman, Senior Attorney Advisor</w:t>
      </w:r>
    </w:p>
    <w:p w14:paraId="4A1E1AA0" w14:textId="77777777" w:rsidR="00F569DB" w:rsidRPr="00E31AD0" w:rsidRDefault="00F569DB" w:rsidP="00E31AD0">
      <w:pPr>
        <w:suppressAutoHyphens/>
        <w:spacing w:after="0"/>
        <w:jc w:val="center"/>
        <w:rPr>
          <w:rFonts w:cs="Arial"/>
        </w:rPr>
      </w:pPr>
      <w:r w:rsidRPr="00E31AD0">
        <w:rPr>
          <w:rFonts w:cs="Arial"/>
        </w:rPr>
        <w:t>Joy Levin Welan, Senior Attorney Advisor</w:t>
      </w:r>
    </w:p>
    <w:p w14:paraId="3ECD3102" w14:textId="4CAA3C1B" w:rsidR="008A45FE" w:rsidRPr="00E31AD0" w:rsidRDefault="00106C0B" w:rsidP="00E31AD0">
      <w:pPr>
        <w:suppressAutoHyphens/>
        <w:spacing w:after="0"/>
        <w:jc w:val="center"/>
        <w:rPr>
          <w:rFonts w:cs="Arial"/>
        </w:rPr>
      </w:pPr>
      <w:r w:rsidRPr="00E31AD0">
        <w:rPr>
          <w:rFonts w:cs="Arial"/>
        </w:rPr>
        <w:t>Keith Woods, Financial Management Analyst</w:t>
      </w:r>
    </w:p>
    <w:p w14:paraId="4AED23B2" w14:textId="17A23F63" w:rsidR="00ED5639" w:rsidRPr="00E31AD0" w:rsidRDefault="00901848" w:rsidP="00301D18">
      <w:pPr>
        <w:suppressAutoHyphens/>
        <w:rPr>
          <w:rFonts w:eastAsia="Times New Roman" w:cs="Arial"/>
          <w:b/>
          <w:bCs/>
          <w:color w:val="000000"/>
          <w:sz w:val="36"/>
          <w:szCs w:val="36"/>
        </w:rPr>
      </w:pPr>
      <w:r w:rsidRPr="00E31AD0">
        <w:rPr>
          <w:rFonts w:cs="Arial"/>
        </w:rPr>
        <w:br w:type="page"/>
      </w:r>
      <w:bookmarkStart w:id="49" w:name="_Toc221875951"/>
      <w:bookmarkStart w:id="50" w:name="_Toc221876069"/>
      <w:bookmarkStart w:id="51" w:name="_Toc221876420"/>
      <w:bookmarkStart w:id="52" w:name="_Toc221899917"/>
      <w:bookmarkStart w:id="53" w:name="_Toc223961862"/>
      <w:bookmarkStart w:id="54" w:name="_Toc223963819"/>
      <w:bookmarkStart w:id="55" w:name="_Toc223965720"/>
      <w:bookmarkStart w:id="56" w:name="_Toc223967256"/>
      <w:bookmarkStart w:id="57" w:name="_Toc224291320"/>
      <w:bookmarkStart w:id="58" w:name="_Toc233886899"/>
      <w:bookmarkStart w:id="59" w:name="_Toc235190058"/>
      <w:r w:rsidR="00ED5639" w:rsidRPr="00E31AD0">
        <w:lastRenderedPageBreak/>
        <w:br w:type="page"/>
      </w:r>
    </w:p>
    <w:p w14:paraId="278B356D" w14:textId="77777777" w:rsidR="008C0073" w:rsidRPr="00E705AE" w:rsidRDefault="008C0073" w:rsidP="003604C8">
      <w:pPr>
        <w:pStyle w:val="Heading1"/>
      </w:pPr>
      <w:bookmarkStart w:id="60" w:name="_Toc242711221"/>
      <w:bookmarkStart w:id="61" w:name="_Toc240715056"/>
      <w:bookmarkStart w:id="62" w:name="_Toc241750858"/>
      <w:bookmarkStart w:id="63" w:name="_Toc242095187"/>
      <w:r>
        <w:rPr>
          <w:rFonts w:eastAsia="Calibri"/>
          <w:u w:color="000000"/>
          <w:bdr w:val="nil"/>
        </w:rPr>
        <w:lastRenderedPageBreak/>
        <w:t>Acronym Glossary</w:t>
      </w:r>
      <w:bookmarkEnd w:id="60"/>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22"/>
        <w:gridCol w:w="6428"/>
      </w:tblGrid>
      <w:tr w:rsidR="008C0073" w:rsidRPr="00BF1828" w14:paraId="3A47C3C3" w14:textId="77777777" w:rsidTr="008C0073">
        <w:tc>
          <w:tcPr>
            <w:tcW w:w="2925" w:type="dxa"/>
          </w:tcPr>
          <w:p w14:paraId="228D4D86"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b/>
                <w:bCs/>
              </w:rPr>
            </w:pPr>
            <w:r>
              <w:rPr>
                <w:b/>
                <w:bCs/>
              </w:rPr>
              <w:t>AAMC</w:t>
            </w:r>
          </w:p>
        </w:tc>
        <w:tc>
          <w:tcPr>
            <w:tcW w:w="6435" w:type="dxa"/>
          </w:tcPr>
          <w:p w14:paraId="21E3C6A1"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Association of American Medical Colleges</w:t>
            </w:r>
          </w:p>
        </w:tc>
      </w:tr>
      <w:tr w:rsidR="008C0073" w:rsidRPr="00BF1828" w14:paraId="4AD9825E" w14:textId="77777777" w:rsidTr="008C0073">
        <w:tc>
          <w:tcPr>
            <w:tcW w:w="2925" w:type="dxa"/>
          </w:tcPr>
          <w:p w14:paraId="6E2DEF4C"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b/>
                <w:bCs/>
              </w:rPr>
            </w:pPr>
            <w:r>
              <w:rPr>
                <w:b/>
                <w:bCs/>
              </w:rPr>
              <w:t>ACGME</w:t>
            </w:r>
          </w:p>
        </w:tc>
        <w:tc>
          <w:tcPr>
            <w:tcW w:w="6435" w:type="dxa"/>
          </w:tcPr>
          <w:p w14:paraId="7342202E"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Accreditation Council for Graduate Medical Education</w:t>
            </w:r>
          </w:p>
        </w:tc>
      </w:tr>
      <w:tr w:rsidR="008C0073" w:rsidRPr="00BF1828" w14:paraId="3F45672B" w14:textId="77777777" w:rsidTr="008C0073">
        <w:tc>
          <w:tcPr>
            <w:tcW w:w="2925" w:type="dxa"/>
          </w:tcPr>
          <w:p w14:paraId="156B1B28"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Pr>
                <w:b/>
                <w:bCs/>
              </w:rPr>
              <w:t>ADA</w:t>
            </w:r>
          </w:p>
        </w:tc>
        <w:tc>
          <w:tcPr>
            <w:tcW w:w="6435" w:type="dxa"/>
          </w:tcPr>
          <w:p w14:paraId="48FD7A30"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Americans with Disabilities Act</w:t>
            </w:r>
          </w:p>
        </w:tc>
      </w:tr>
      <w:tr w:rsidR="008C0073" w:rsidRPr="00BF1828" w14:paraId="2C45E0C1" w14:textId="77777777" w:rsidTr="008C0073">
        <w:tc>
          <w:tcPr>
            <w:tcW w:w="2925" w:type="dxa"/>
          </w:tcPr>
          <w:p w14:paraId="6493AD64"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Pr>
                <w:rFonts w:cs="Arial"/>
                <w:b/>
                <w:bCs/>
              </w:rPr>
              <w:t>AMA</w:t>
            </w:r>
          </w:p>
        </w:tc>
        <w:tc>
          <w:tcPr>
            <w:tcW w:w="6435" w:type="dxa"/>
          </w:tcPr>
          <w:p w14:paraId="106FCE31"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American Medical Association</w:t>
            </w:r>
          </w:p>
        </w:tc>
      </w:tr>
      <w:tr w:rsidR="008C0073" w:rsidRPr="00BF1828" w14:paraId="35F8E892" w14:textId="77777777" w:rsidTr="008C0073">
        <w:tc>
          <w:tcPr>
            <w:tcW w:w="2925" w:type="dxa"/>
          </w:tcPr>
          <w:p w14:paraId="0FCC1360"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Pr>
                <w:rFonts w:cs="Arial"/>
                <w:b/>
                <w:bCs/>
              </w:rPr>
              <w:t>COCA</w:t>
            </w:r>
          </w:p>
        </w:tc>
        <w:tc>
          <w:tcPr>
            <w:tcW w:w="6435" w:type="dxa"/>
          </w:tcPr>
          <w:p w14:paraId="230FF363"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Commission on Osteopathic Accreditation</w:t>
            </w:r>
          </w:p>
        </w:tc>
      </w:tr>
      <w:tr w:rsidR="008C0073" w:rsidRPr="00BF1828" w14:paraId="0601771A" w14:textId="77777777" w:rsidTr="008C0073">
        <w:tc>
          <w:tcPr>
            <w:tcW w:w="2925" w:type="dxa"/>
          </w:tcPr>
          <w:p w14:paraId="28FEE715"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Pr>
                <w:rFonts w:cs="Arial"/>
                <w:b/>
                <w:bCs/>
              </w:rPr>
              <w:t>I</w:t>
            </w:r>
            <w:r>
              <w:rPr>
                <w:b/>
                <w:bCs/>
              </w:rPr>
              <w:t>DD</w:t>
            </w:r>
          </w:p>
        </w:tc>
        <w:tc>
          <w:tcPr>
            <w:tcW w:w="6435" w:type="dxa"/>
          </w:tcPr>
          <w:p w14:paraId="55F3D364"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intellectual and developmental disability</w:t>
            </w:r>
          </w:p>
        </w:tc>
      </w:tr>
      <w:tr w:rsidR="008C0073" w:rsidRPr="00BF1828" w14:paraId="4149E504" w14:textId="77777777" w:rsidTr="008C0073">
        <w:tc>
          <w:tcPr>
            <w:tcW w:w="2925" w:type="dxa"/>
          </w:tcPr>
          <w:p w14:paraId="0142D6C6"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Pr>
                <w:rFonts w:cs="Arial"/>
                <w:b/>
                <w:bCs/>
              </w:rPr>
              <w:t>JC</w:t>
            </w:r>
          </w:p>
        </w:tc>
        <w:tc>
          <w:tcPr>
            <w:tcW w:w="6435" w:type="dxa"/>
          </w:tcPr>
          <w:p w14:paraId="7C36117D"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Joint Commission</w:t>
            </w:r>
          </w:p>
        </w:tc>
      </w:tr>
      <w:tr w:rsidR="008C0073" w:rsidRPr="00BF1828" w14:paraId="161381FD" w14:textId="77777777" w:rsidTr="008C0073">
        <w:tc>
          <w:tcPr>
            <w:tcW w:w="2925" w:type="dxa"/>
          </w:tcPr>
          <w:p w14:paraId="4AE3B287"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Pr>
                <w:rFonts w:cs="Arial"/>
                <w:b/>
                <w:bCs/>
              </w:rPr>
              <w:t>H</w:t>
            </w:r>
            <w:r>
              <w:rPr>
                <w:b/>
                <w:bCs/>
              </w:rPr>
              <w:t>HS</w:t>
            </w:r>
          </w:p>
        </w:tc>
        <w:tc>
          <w:tcPr>
            <w:tcW w:w="6435" w:type="dxa"/>
          </w:tcPr>
          <w:p w14:paraId="1C44CA59"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US Department of Health and Human Services</w:t>
            </w:r>
          </w:p>
        </w:tc>
      </w:tr>
      <w:tr w:rsidR="008C0073" w:rsidRPr="00BF1828" w14:paraId="50A1CAA9" w14:textId="77777777" w:rsidTr="008C0073">
        <w:tc>
          <w:tcPr>
            <w:tcW w:w="2925" w:type="dxa"/>
          </w:tcPr>
          <w:p w14:paraId="056E8F98"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Pr>
                <w:rFonts w:cs="Arial"/>
                <w:b/>
                <w:bCs/>
              </w:rPr>
              <w:t>L</w:t>
            </w:r>
            <w:r>
              <w:rPr>
                <w:b/>
                <w:bCs/>
              </w:rPr>
              <w:t>CME</w:t>
            </w:r>
          </w:p>
        </w:tc>
        <w:tc>
          <w:tcPr>
            <w:tcW w:w="6435" w:type="dxa"/>
          </w:tcPr>
          <w:p w14:paraId="7D877509"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Liaison Committee on Medical Education</w:t>
            </w:r>
          </w:p>
        </w:tc>
      </w:tr>
      <w:tr w:rsidR="008C0073" w:rsidRPr="00BF1828" w14:paraId="61D9ED2E" w14:textId="77777777" w:rsidTr="008C0073">
        <w:tc>
          <w:tcPr>
            <w:tcW w:w="2925" w:type="dxa"/>
          </w:tcPr>
          <w:p w14:paraId="69E8A0EA"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sidRPr="00BF1828">
              <w:rPr>
                <w:rFonts w:cs="Arial"/>
                <w:b/>
                <w:bCs/>
              </w:rPr>
              <w:t>NCD</w:t>
            </w:r>
          </w:p>
        </w:tc>
        <w:tc>
          <w:tcPr>
            <w:tcW w:w="6435" w:type="dxa"/>
          </w:tcPr>
          <w:p w14:paraId="1C7223F3"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BF1828">
              <w:rPr>
                <w:rFonts w:cs="Arial"/>
              </w:rPr>
              <w:t>National Council on Disability</w:t>
            </w:r>
          </w:p>
        </w:tc>
      </w:tr>
      <w:tr w:rsidR="008C0073" w:rsidRPr="00BF1828" w14:paraId="07E64D7A" w14:textId="77777777" w:rsidTr="008C0073">
        <w:tc>
          <w:tcPr>
            <w:tcW w:w="2925" w:type="dxa"/>
          </w:tcPr>
          <w:p w14:paraId="006CD7A1"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Pr>
                <w:rFonts w:cs="Arial"/>
                <w:b/>
                <w:bCs/>
              </w:rPr>
              <w:t>N</w:t>
            </w:r>
            <w:r>
              <w:rPr>
                <w:b/>
                <w:bCs/>
              </w:rPr>
              <w:t>IH</w:t>
            </w:r>
          </w:p>
        </w:tc>
        <w:tc>
          <w:tcPr>
            <w:tcW w:w="6435" w:type="dxa"/>
          </w:tcPr>
          <w:p w14:paraId="6A98EDC3"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National Institutes of Health</w:t>
            </w:r>
          </w:p>
        </w:tc>
      </w:tr>
      <w:tr w:rsidR="008C0073" w:rsidRPr="00BF1828" w14:paraId="2FBC9AB8" w14:textId="77777777" w:rsidTr="008C0073">
        <w:tc>
          <w:tcPr>
            <w:tcW w:w="2925" w:type="dxa"/>
          </w:tcPr>
          <w:p w14:paraId="2936F506"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Pr>
                <w:rFonts w:cs="Arial"/>
                <w:b/>
                <w:bCs/>
              </w:rPr>
              <w:t>TBL</w:t>
            </w:r>
          </w:p>
        </w:tc>
        <w:tc>
          <w:tcPr>
            <w:tcW w:w="6435" w:type="dxa"/>
          </w:tcPr>
          <w:p w14:paraId="3C62A765"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proofErr w:type="gramStart"/>
            <w:r w:rsidRPr="00992AF5">
              <w:rPr>
                <w:rFonts w:cs="Arial"/>
              </w:rPr>
              <w:t>team</w:t>
            </w:r>
            <w:proofErr w:type="gramEnd"/>
            <w:r w:rsidRPr="00992AF5">
              <w:rPr>
                <w:rFonts w:cs="Arial"/>
              </w:rPr>
              <w:t>-based learning</w:t>
            </w:r>
          </w:p>
        </w:tc>
      </w:tr>
      <w:tr w:rsidR="008C0073" w:rsidRPr="00BF1828" w14:paraId="68DD2EBB" w14:textId="77777777" w:rsidTr="008C0073">
        <w:tc>
          <w:tcPr>
            <w:tcW w:w="2925" w:type="dxa"/>
          </w:tcPr>
          <w:p w14:paraId="71885431"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Pr>
                <w:rFonts w:cs="Arial"/>
                <w:b/>
                <w:bCs/>
              </w:rPr>
              <w:t>UIC</w:t>
            </w:r>
          </w:p>
        </w:tc>
        <w:tc>
          <w:tcPr>
            <w:tcW w:w="6435" w:type="dxa"/>
          </w:tcPr>
          <w:p w14:paraId="1612C35B"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University of Illinois</w:t>
            </w:r>
            <w:r>
              <w:rPr>
                <w:rFonts w:cs="Arial"/>
              </w:rPr>
              <w:t xml:space="preserve"> Chicago</w:t>
            </w:r>
          </w:p>
        </w:tc>
      </w:tr>
      <w:tr w:rsidR="008C0073" w:rsidRPr="00BF1828" w14:paraId="56C22A85" w14:textId="77777777" w:rsidTr="008C0073">
        <w:tc>
          <w:tcPr>
            <w:tcW w:w="2925" w:type="dxa"/>
          </w:tcPr>
          <w:p w14:paraId="0856B060"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b/>
                <w:bCs/>
              </w:rPr>
            </w:pPr>
            <w:r>
              <w:rPr>
                <w:rFonts w:cs="Arial"/>
                <w:b/>
                <w:bCs/>
              </w:rPr>
              <w:t>USMLE</w:t>
            </w:r>
          </w:p>
        </w:tc>
        <w:tc>
          <w:tcPr>
            <w:tcW w:w="6435" w:type="dxa"/>
          </w:tcPr>
          <w:p w14:paraId="00B910B2" w14:textId="77777777" w:rsidR="008C0073" w:rsidRPr="00BF1828" w:rsidRDefault="008C0073" w:rsidP="002C106A">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after="0"/>
              <w:rPr>
                <w:rFonts w:cs="Arial"/>
              </w:rPr>
            </w:pPr>
            <w:r w:rsidRPr="00992AF5">
              <w:rPr>
                <w:rFonts w:cs="Arial"/>
              </w:rPr>
              <w:t>United States Medical Licensing Examination</w:t>
            </w:r>
          </w:p>
        </w:tc>
      </w:tr>
    </w:tbl>
    <w:p w14:paraId="2D562662" w14:textId="77777777" w:rsidR="00494670" w:rsidRDefault="00494670">
      <w:pPr>
        <w:spacing w:after="0" w:line="240" w:lineRule="auto"/>
      </w:pPr>
      <w:r>
        <w:br w:type="page"/>
      </w:r>
    </w:p>
    <w:p w14:paraId="23C9C725" w14:textId="77777777" w:rsidR="00CA3D2C" w:rsidRDefault="00CA3D2C">
      <w:pPr>
        <w:spacing w:after="0" w:line="240" w:lineRule="auto"/>
      </w:pPr>
      <w:r>
        <w:lastRenderedPageBreak/>
        <w:br w:type="page"/>
      </w:r>
    </w:p>
    <w:p w14:paraId="0EE99B27" w14:textId="77777777" w:rsidR="00CA3D2C" w:rsidRPr="00E31AD0" w:rsidRDefault="00CA3D2C" w:rsidP="00CA3D2C">
      <w:pPr>
        <w:pStyle w:val="NCDBodyText"/>
        <w:suppressAutoHyphens/>
        <w:spacing w:line="240" w:lineRule="auto"/>
        <w:jc w:val="center"/>
        <w:rPr>
          <w:rFonts w:cs="Arial"/>
          <w:color w:val="auto"/>
        </w:rPr>
      </w:pPr>
      <w:r w:rsidRPr="00E31AD0">
        <w:rPr>
          <w:rFonts w:cs="Arial"/>
          <w:color w:val="auto"/>
        </w:rPr>
        <w:lastRenderedPageBreak/>
        <w:t xml:space="preserve">“The secret of the care of the patient is in </w:t>
      </w:r>
      <w:r w:rsidRPr="00E31AD0">
        <w:rPr>
          <w:rFonts w:cs="Arial"/>
          <w:i/>
          <w:iCs/>
          <w:color w:val="auto"/>
        </w:rPr>
        <w:t>caring</w:t>
      </w:r>
      <w:r w:rsidRPr="00E31AD0">
        <w:rPr>
          <w:rFonts w:cs="Arial"/>
          <w:color w:val="auto"/>
        </w:rPr>
        <w:t xml:space="preserve"> for the patient.”</w:t>
      </w:r>
    </w:p>
    <w:p w14:paraId="32F1F04D" w14:textId="77777777" w:rsidR="00CA3D2C" w:rsidRPr="00E31AD0" w:rsidRDefault="00CA3D2C" w:rsidP="00CA3D2C">
      <w:pPr>
        <w:pStyle w:val="NCDBodyText"/>
        <w:suppressAutoHyphens/>
        <w:spacing w:line="240" w:lineRule="auto"/>
        <w:jc w:val="center"/>
        <w:rPr>
          <w:rFonts w:cs="Arial"/>
          <w:color w:val="auto"/>
        </w:rPr>
      </w:pPr>
      <w:r w:rsidRPr="00E31AD0">
        <w:rPr>
          <w:rFonts w:cs="Arial"/>
          <w:color w:val="auto"/>
        </w:rPr>
        <w:t>—Dr. Francis Peabody</w:t>
      </w:r>
    </w:p>
    <w:p w14:paraId="069C783E" w14:textId="77777777" w:rsidR="00CA3D2C" w:rsidRPr="00E31AD0" w:rsidRDefault="00CA3D2C" w:rsidP="00CA3D2C">
      <w:pPr>
        <w:pStyle w:val="NCDBodyText"/>
        <w:suppressAutoHyphens/>
        <w:spacing w:line="240" w:lineRule="auto"/>
        <w:jc w:val="center"/>
        <w:rPr>
          <w:rFonts w:cs="Arial"/>
          <w:color w:val="auto"/>
        </w:rPr>
      </w:pPr>
      <w:r w:rsidRPr="00E31AD0">
        <w:rPr>
          <w:rFonts w:cs="Arial"/>
          <w:color w:val="auto"/>
        </w:rPr>
        <w:t>“Only roughly half of physicians ‘strongly’ agreed that they would welcome patients with disability into their practices.”</w:t>
      </w:r>
    </w:p>
    <w:p w14:paraId="3BBD93D4" w14:textId="77777777" w:rsidR="00CA3D2C" w:rsidRPr="00E31AD0" w:rsidRDefault="00CA3D2C" w:rsidP="00CA3D2C">
      <w:pPr>
        <w:pStyle w:val="NCDBodyText"/>
        <w:suppressAutoHyphens/>
        <w:spacing w:line="240" w:lineRule="auto"/>
        <w:ind w:left="360"/>
        <w:jc w:val="center"/>
        <w:rPr>
          <w:rFonts w:cs="Arial"/>
          <w:color w:val="auto"/>
        </w:rPr>
      </w:pPr>
      <w:r w:rsidRPr="00E31AD0">
        <w:rPr>
          <w:rFonts w:cs="Arial"/>
          <w:i/>
          <w:iCs/>
          <w:color w:val="auto"/>
        </w:rPr>
        <w:t xml:space="preserve">—Health Affairs </w:t>
      </w:r>
      <w:r w:rsidRPr="00E31AD0">
        <w:rPr>
          <w:rFonts w:cs="Arial"/>
          <w:color w:val="auto"/>
        </w:rPr>
        <w:t>(</w:t>
      </w:r>
      <w:proofErr w:type="spellStart"/>
      <w:r w:rsidRPr="00E31AD0">
        <w:rPr>
          <w:rFonts w:cs="Arial"/>
          <w:color w:val="auto"/>
        </w:rPr>
        <w:t>Iezzoni</w:t>
      </w:r>
      <w:proofErr w:type="spellEnd"/>
      <w:r w:rsidRPr="00E31AD0">
        <w:rPr>
          <w:rFonts w:cs="Arial"/>
          <w:color w:val="auto"/>
        </w:rPr>
        <w:t xml:space="preserve"> et al.)</w:t>
      </w:r>
      <w:r w:rsidRPr="00332FD4">
        <w:rPr>
          <w:rStyle w:val="EndnoteReference"/>
          <w:rFonts w:cs="Arial"/>
          <w:color w:val="auto"/>
        </w:rPr>
        <w:endnoteReference w:id="1"/>
      </w:r>
    </w:p>
    <w:p w14:paraId="066F2C71" w14:textId="77777777" w:rsidR="00CA3D2C" w:rsidRDefault="00CA3D2C">
      <w:pPr>
        <w:spacing w:after="0" w:line="240" w:lineRule="auto"/>
      </w:pPr>
      <w:r>
        <w:br w:type="page"/>
      </w:r>
    </w:p>
    <w:p w14:paraId="051E0029" w14:textId="161388AE" w:rsidR="004143C2" w:rsidRDefault="004143C2">
      <w:pPr>
        <w:spacing w:after="0" w:line="240" w:lineRule="auto"/>
        <w:rPr>
          <w:rFonts w:eastAsia="Times New Roman" w:cs="Arial"/>
          <w:b/>
          <w:bCs/>
          <w:color w:val="000000"/>
          <w:sz w:val="36"/>
          <w:szCs w:val="36"/>
        </w:rPr>
      </w:pPr>
      <w:r>
        <w:lastRenderedPageBreak/>
        <w:br w:type="page"/>
      </w:r>
    </w:p>
    <w:p w14:paraId="2DCC5E09" w14:textId="2B4159C7" w:rsidR="00D918C8" w:rsidRPr="00E31AD0" w:rsidRDefault="00A81BCA" w:rsidP="00E31AD0">
      <w:pPr>
        <w:pStyle w:val="Heading1"/>
        <w:keepNext w:val="0"/>
        <w:keepLines w:val="0"/>
        <w:suppressAutoHyphens/>
      </w:pPr>
      <w:bookmarkStart w:id="64" w:name="_Toc242711222"/>
      <w:r w:rsidRPr="00E31AD0">
        <w:lastRenderedPageBreak/>
        <w:t>Table of Contents</w:t>
      </w:r>
      <w:bookmarkEnd w:id="49"/>
      <w:bookmarkEnd w:id="50"/>
      <w:bookmarkEnd w:id="51"/>
      <w:bookmarkEnd w:id="52"/>
      <w:bookmarkEnd w:id="53"/>
      <w:bookmarkEnd w:id="54"/>
      <w:bookmarkEnd w:id="55"/>
      <w:bookmarkEnd w:id="56"/>
      <w:bookmarkEnd w:id="57"/>
      <w:bookmarkEnd w:id="58"/>
      <w:bookmarkEnd w:id="59"/>
      <w:bookmarkEnd w:id="61"/>
      <w:bookmarkEnd w:id="62"/>
      <w:bookmarkEnd w:id="63"/>
      <w:bookmarkEnd w:id="64"/>
    </w:p>
    <w:p w14:paraId="62EEEA74" w14:textId="040BDF31" w:rsidR="006C44B8" w:rsidRDefault="001017BA" w:rsidP="006C44B8">
      <w:pPr>
        <w:pStyle w:val="TOC1"/>
        <w:tabs>
          <w:tab w:val="right" w:leader="dot" w:pos="9350"/>
        </w:tabs>
        <w:rPr>
          <w:rFonts w:asciiTheme="minorHAnsi" w:eastAsiaTheme="minorEastAsia" w:hAnsiTheme="minorHAnsi" w:cstheme="minorBidi"/>
          <w:noProof/>
          <w14:ligatures w14:val="standardContextual"/>
        </w:rPr>
      </w:pPr>
      <w:r w:rsidRPr="00E31AD0">
        <w:rPr>
          <w:rFonts w:asciiTheme="minorBidi" w:eastAsia="Times New Roman" w:hAnsiTheme="minorBidi" w:cstheme="minorBidi"/>
          <w:b/>
          <w:bCs/>
          <w:color w:val="000000"/>
          <w:sz w:val="36"/>
          <w:szCs w:val="36"/>
        </w:rPr>
        <w:fldChar w:fldCharType="begin"/>
      </w:r>
      <w:r w:rsidRPr="00E31AD0">
        <w:rPr>
          <w:rFonts w:asciiTheme="minorBidi" w:hAnsiTheme="minorBidi" w:cstheme="minorBidi"/>
        </w:rPr>
        <w:instrText xml:space="preserve"> TOC \o "1-3" \h \z \u </w:instrText>
      </w:r>
      <w:r w:rsidRPr="00E31AD0">
        <w:rPr>
          <w:rFonts w:asciiTheme="minorBidi" w:eastAsia="Times New Roman" w:hAnsiTheme="minorBidi" w:cstheme="minorBidi"/>
          <w:b/>
          <w:bCs/>
          <w:color w:val="000000"/>
          <w:sz w:val="36"/>
          <w:szCs w:val="36"/>
        </w:rPr>
        <w:fldChar w:fldCharType="separate"/>
      </w:r>
      <w:hyperlink w:anchor="_Toc242711223" w:history="1">
        <w:r w:rsidR="006C44B8" w:rsidRPr="00C62759">
          <w:rPr>
            <w:rStyle w:val="Hyperlink"/>
            <w:noProof/>
          </w:rPr>
          <w:t>Introduction</w:t>
        </w:r>
        <w:r w:rsidR="006C44B8">
          <w:rPr>
            <w:noProof/>
            <w:webHidden/>
          </w:rPr>
          <w:tab/>
        </w:r>
        <w:r w:rsidR="006C44B8">
          <w:rPr>
            <w:noProof/>
            <w:webHidden/>
          </w:rPr>
          <w:fldChar w:fldCharType="begin"/>
        </w:r>
        <w:r w:rsidR="006C44B8">
          <w:rPr>
            <w:noProof/>
            <w:webHidden/>
          </w:rPr>
          <w:instrText xml:space="preserve"> PAGEREF _Toc242711223 \h </w:instrText>
        </w:r>
        <w:r w:rsidR="006C44B8">
          <w:rPr>
            <w:noProof/>
            <w:webHidden/>
          </w:rPr>
        </w:r>
        <w:r w:rsidR="006C44B8">
          <w:rPr>
            <w:noProof/>
            <w:webHidden/>
          </w:rPr>
          <w:fldChar w:fldCharType="separate"/>
        </w:r>
        <w:r w:rsidR="00CA3D2C">
          <w:rPr>
            <w:noProof/>
            <w:webHidden/>
          </w:rPr>
          <w:t>9</w:t>
        </w:r>
        <w:r w:rsidR="006C44B8">
          <w:rPr>
            <w:noProof/>
            <w:webHidden/>
          </w:rPr>
          <w:fldChar w:fldCharType="end"/>
        </w:r>
      </w:hyperlink>
    </w:p>
    <w:p w14:paraId="02A53F55" w14:textId="420EF615" w:rsidR="006C44B8" w:rsidRDefault="006C44B8">
      <w:pPr>
        <w:pStyle w:val="TOC2"/>
        <w:rPr>
          <w:rFonts w:asciiTheme="minorHAnsi" w:eastAsiaTheme="minorEastAsia" w:hAnsiTheme="minorHAnsi" w:cstheme="minorBidi"/>
          <w14:ligatures w14:val="standardContextual"/>
        </w:rPr>
      </w:pPr>
      <w:hyperlink w:anchor="_Toc242711224" w:history="1">
        <w:r w:rsidRPr="00C62759">
          <w:rPr>
            <w:rStyle w:val="Hyperlink"/>
          </w:rPr>
          <w:t>The Effect of Lacking Disability Clinical Care Training on Health Care Providers</w:t>
        </w:r>
        <w:r>
          <w:rPr>
            <w:webHidden/>
          </w:rPr>
          <w:tab/>
        </w:r>
        <w:r>
          <w:rPr>
            <w:webHidden/>
          </w:rPr>
          <w:fldChar w:fldCharType="begin"/>
        </w:r>
        <w:r>
          <w:rPr>
            <w:webHidden/>
          </w:rPr>
          <w:instrText xml:space="preserve"> PAGEREF _Toc242711224 \h </w:instrText>
        </w:r>
        <w:r>
          <w:rPr>
            <w:webHidden/>
          </w:rPr>
        </w:r>
        <w:r>
          <w:rPr>
            <w:webHidden/>
          </w:rPr>
          <w:fldChar w:fldCharType="separate"/>
        </w:r>
        <w:r w:rsidR="00CA3D2C">
          <w:rPr>
            <w:webHidden/>
          </w:rPr>
          <w:t>10</w:t>
        </w:r>
        <w:r>
          <w:rPr>
            <w:webHidden/>
          </w:rPr>
          <w:fldChar w:fldCharType="end"/>
        </w:r>
      </w:hyperlink>
    </w:p>
    <w:p w14:paraId="187B5588" w14:textId="04A2F2A2"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25" w:history="1">
        <w:r w:rsidRPr="00C62759">
          <w:rPr>
            <w:rStyle w:val="Hyperlink"/>
            <w:i/>
            <w:iCs/>
            <w:noProof/>
          </w:rPr>
          <w:t>Diagnostic Overshadowing</w:t>
        </w:r>
        <w:r>
          <w:rPr>
            <w:noProof/>
            <w:webHidden/>
          </w:rPr>
          <w:tab/>
        </w:r>
        <w:r>
          <w:rPr>
            <w:noProof/>
            <w:webHidden/>
          </w:rPr>
          <w:fldChar w:fldCharType="begin"/>
        </w:r>
        <w:r>
          <w:rPr>
            <w:noProof/>
            <w:webHidden/>
          </w:rPr>
          <w:instrText xml:space="preserve"> PAGEREF _Toc242711225 \h </w:instrText>
        </w:r>
        <w:r>
          <w:rPr>
            <w:noProof/>
            <w:webHidden/>
          </w:rPr>
        </w:r>
        <w:r>
          <w:rPr>
            <w:noProof/>
            <w:webHidden/>
          </w:rPr>
          <w:fldChar w:fldCharType="separate"/>
        </w:r>
        <w:r w:rsidR="00CA3D2C">
          <w:rPr>
            <w:noProof/>
            <w:webHidden/>
          </w:rPr>
          <w:t>11</w:t>
        </w:r>
        <w:r>
          <w:rPr>
            <w:noProof/>
            <w:webHidden/>
          </w:rPr>
          <w:fldChar w:fldCharType="end"/>
        </w:r>
      </w:hyperlink>
    </w:p>
    <w:p w14:paraId="4E8CF7FB" w14:textId="41DB8288" w:rsidR="006C44B8" w:rsidRDefault="006C44B8">
      <w:pPr>
        <w:pStyle w:val="TOC2"/>
        <w:rPr>
          <w:rFonts w:asciiTheme="minorHAnsi" w:eastAsiaTheme="minorEastAsia" w:hAnsiTheme="minorHAnsi" w:cstheme="minorBidi"/>
          <w14:ligatures w14:val="standardContextual"/>
        </w:rPr>
      </w:pPr>
      <w:hyperlink w:anchor="_Toc242711226" w:history="1">
        <w:r w:rsidRPr="00C62759">
          <w:rPr>
            <w:rStyle w:val="Hyperlink"/>
          </w:rPr>
          <w:t>The Effect on Patients’ Lives</w:t>
        </w:r>
        <w:r>
          <w:rPr>
            <w:webHidden/>
          </w:rPr>
          <w:tab/>
        </w:r>
        <w:r>
          <w:rPr>
            <w:webHidden/>
          </w:rPr>
          <w:fldChar w:fldCharType="begin"/>
        </w:r>
        <w:r>
          <w:rPr>
            <w:webHidden/>
          </w:rPr>
          <w:instrText xml:space="preserve"> PAGEREF _Toc242711226 \h </w:instrText>
        </w:r>
        <w:r>
          <w:rPr>
            <w:webHidden/>
          </w:rPr>
        </w:r>
        <w:r>
          <w:rPr>
            <w:webHidden/>
          </w:rPr>
          <w:fldChar w:fldCharType="separate"/>
        </w:r>
        <w:r w:rsidR="00CA3D2C">
          <w:rPr>
            <w:webHidden/>
          </w:rPr>
          <w:t>12</w:t>
        </w:r>
        <w:r>
          <w:rPr>
            <w:webHidden/>
          </w:rPr>
          <w:fldChar w:fldCharType="end"/>
        </w:r>
      </w:hyperlink>
    </w:p>
    <w:p w14:paraId="11124429" w14:textId="464102B7" w:rsidR="006C44B8" w:rsidRDefault="006C44B8">
      <w:pPr>
        <w:pStyle w:val="TOC2"/>
        <w:rPr>
          <w:rFonts w:asciiTheme="minorHAnsi" w:eastAsiaTheme="minorEastAsia" w:hAnsiTheme="minorHAnsi" w:cstheme="minorBidi"/>
          <w14:ligatures w14:val="standardContextual"/>
        </w:rPr>
      </w:pPr>
      <w:hyperlink w:anchor="_Toc242711227" w:history="1">
        <w:r w:rsidRPr="00C62759">
          <w:rPr>
            <w:rStyle w:val="Hyperlink"/>
          </w:rPr>
          <w:t>Fundamental Barriers</w:t>
        </w:r>
        <w:r>
          <w:rPr>
            <w:webHidden/>
          </w:rPr>
          <w:tab/>
        </w:r>
        <w:r>
          <w:rPr>
            <w:webHidden/>
          </w:rPr>
          <w:fldChar w:fldCharType="begin"/>
        </w:r>
        <w:r>
          <w:rPr>
            <w:webHidden/>
          </w:rPr>
          <w:instrText xml:space="preserve"> PAGEREF _Toc242711227 \h </w:instrText>
        </w:r>
        <w:r>
          <w:rPr>
            <w:webHidden/>
          </w:rPr>
        </w:r>
        <w:r>
          <w:rPr>
            <w:webHidden/>
          </w:rPr>
          <w:fldChar w:fldCharType="separate"/>
        </w:r>
        <w:r w:rsidR="00CA3D2C">
          <w:rPr>
            <w:webHidden/>
          </w:rPr>
          <w:t>14</w:t>
        </w:r>
        <w:r>
          <w:rPr>
            <w:webHidden/>
          </w:rPr>
          <w:fldChar w:fldCharType="end"/>
        </w:r>
      </w:hyperlink>
    </w:p>
    <w:p w14:paraId="04CD828F" w14:textId="117DCFA8" w:rsidR="006C44B8" w:rsidRDefault="006C44B8">
      <w:pPr>
        <w:pStyle w:val="TOC2"/>
        <w:rPr>
          <w:rFonts w:asciiTheme="minorHAnsi" w:eastAsiaTheme="minorEastAsia" w:hAnsiTheme="minorHAnsi" w:cstheme="minorBidi"/>
          <w14:ligatures w14:val="standardContextual"/>
        </w:rPr>
      </w:pPr>
      <w:hyperlink w:anchor="_Toc242711228" w:history="1">
        <w:r w:rsidRPr="00C62759">
          <w:rPr>
            <w:rStyle w:val="Hyperlink"/>
          </w:rPr>
          <w:t>Applicable Law, Standards, and Examinations</w:t>
        </w:r>
        <w:r>
          <w:rPr>
            <w:webHidden/>
          </w:rPr>
          <w:tab/>
        </w:r>
        <w:r>
          <w:rPr>
            <w:webHidden/>
          </w:rPr>
          <w:fldChar w:fldCharType="begin"/>
        </w:r>
        <w:r>
          <w:rPr>
            <w:webHidden/>
          </w:rPr>
          <w:instrText xml:space="preserve"> PAGEREF _Toc242711228 \h </w:instrText>
        </w:r>
        <w:r>
          <w:rPr>
            <w:webHidden/>
          </w:rPr>
        </w:r>
        <w:r>
          <w:rPr>
            <w:webHidden/>
          </w:rPr>
          <w:fldChar w:fldCharType="separate"/>
        </w:r>
        <w:r w:rsidR="00CA3D2C">
          <w:rPr>
            <w:webHidden/>
          </w:rPr>
          <w:t>15</w:t>
        </w:r>
        <w:r>
          <w:rPr>
            <w:webHidden/>
          </w:rPr>
          <w:fldChar w:fldCharType="end"/>
        </w:r>
      </w:hyperlink>
    </w:p>
    <w:p w14:paraId="5B165B20" w14:textId="39624A57"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29" w:history="1">
        <w:r w:rsidRPr="00C62759">
          <w:rPr>
            <w:rStyle w:val="Hyperlink"/>
            <w:i/>
            <w:iCs/>
            <w:noProof/>
          </w:rPr>
          <w:t>US Department of Health and Human Services</w:t>
        </w:r>
        <w:r>
          <w:rPr>
            <w:noProof/>
            <w:webHidden/>
          </w:rPr>
          <w:tab/>
        </w:r>
        <w:r>
          <w:rPr>
            <w:noProof/>
            <w:webHidden/>
          </w:rPr>
          <w:fldChar w:fldCharType="begin"/>
        </w:r>
        <w:r>
          <w:rPr>
            <w:noProof/>
            <w:webHidden/>
          </w:rPr>
          <w:instrText xml:space="preserve"> PAGEREF _Toc242711229 \h </w:instrText>
        </w:r>
        <w:r>
          <w:rPr>
            <w:noProof/>
            <w:webHidden/>
          </w:rPr>
        </w:r>
        <w:r>
          <w:rPr>
            <w:noProof/>
            <w:webHidden/>
          </w:rPr>
          <w:fldChar w:fldCharType="separate"/>
        </w:r>
        <w:r w:rsidR="00CA3D2C">
          <w:rPr>
            <w:noProof/>
            <w:webHidden/>
          </w:rPr>
          <w:t>15</w:t>
        </w:r>
        <w:r>
          <w:rPr>
            <w:noProof/>
            <w:webHidden/>
          </w:rPr>
          <w:fldChar w:fldCharType="end"/>
        </w:r>
      </w:hyperlink>
    </w:p>
    <w:p w14:paraId="03B2B6CA" w14:textId="2DEC2A00"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30" w:history="1">
        <w:r w:rsidRPr="00C62759">
          <w:rPr>
            <w:rStyle w:val="Hyperlink"/>
            <w:i/>
            <w:iCs/>
            <w:noProof/>
          </w:rPr>
          <w:t>State Laws</w:t>
        </w:r>
        <w:r>
          <w:rPr>
            <w:noProof/>
            <w:webHidden/>
          </w:rPr>
          <w:tab/>
        </w:r>
        <w:r>
          <w:rPr>
            <w:noProof/>
            <w:webHidden/>
          </w:rPr>
          <w:fldChar w:fldCharType="begin"/>
        </w:r>
        <w:r>
          <w:rPr>
            <w:noProof/>
            <w:webHidden/>
          </w:rPr>
          <w:instrText xml:space="preserve"> PAGEREF _Toc242711230 \h </w:instrText>
        </w:r>
        <w:r>
          <w:rPr>
            <w:noProof/>
            <w:webHidden/>
          </w:rPr>
        </w:r>
        <w:r>
          <w:rPr>
            <w:noProof/>
            <w:webHidden/>
          </w:rPr>
          <w:fldChar w:fldCharType="separate"/>
        </w:r>
        <w:r w:rsidR="00CA3D2C">
          <w:rPr>
            <w:noProof/>
            <w:webHidden/>
          </w:rPr>
          <w:t>17</w:t>
        </w:r>
        <w:r>
          <w:rPr>
            <w:noProof/>
            <w:webHidden/>
          </w:rPr>
          <w:fldChar w:fldCharType="end"/>
        </w:r>
      </w:hyperlink>
    </w:p>
    <w:p w14:paraId="7A1B26E4" w14:textId="5421E8D3"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31" w:history="1">
        <w:r w:rsidRPr="00C62759">
          <w:rPr>
            <w:rStyle w:val="Hyperlink"/>
            <w:i/>
            <w:iCs/>
            <w:noProof/>
          </w:rPr>
          <w:t>Nongovernment Organizations</w:t>
        </w:r>
        <w:r>
          <w:rPr>
            <w:noProof/>
            <w:webHidden/>
          </w:rPr>
          <w:tab/>
        </w:r>
        <w:r>
          <w:rPr>
            <w:noProof/>
            <w:webHidden/>
          </w:rPr>
          <w:fldChar w:fldCharType="begin"/>
        </w:r>
        <w:r>
          <w:rPr>
            <w:noProof/>
            <w:webHidden/>
          </w:rPr>
          <w:instrText xml:space="preserve"> PAGEREF _Toc242711231 \h </w:instrText>
        </w:r>
        <w:r>
          <w:rPr>
            <w:noProof/>
            <w:webHidden/>
          </w:rPr>
        </w:r>
        <w:r>
          <w:rPr>
            <w:noProof/>
            <w:webHidden/>
          </w:rPr>
          <w:fldChar w:fldCharType="separate"/>
        </w:r>
        <w:r w:rsidR="00CA3D2C">
          <w:rPr>
            <w:noProof/>
            <w:webHidden/>
          </w:rPr>
          <w:t>17</w:t>
        </w:r>
        <w:r>
          <w:rPr>
            <w:noProof/>
            <w:webHidden/>
          </w:rPr>
          <w:fldChar w:fldCharType="end"/>
        </w:r>
      </w:hyperlink>
    </w:p>
    <w:p w14:paraId="7EAFEBEA" w14:textId="50B767A5" w:rsidR="006C44B8" w:rsidRDefault="006C44B8">
      <w:pPr>
        <w:pStyle w:val="TOC2"/>
        <w:rPr>
          <w:rFonts w:asciiTheme="minorHAnsi" w:eastAsiaTheme="minorEastAsia" w:hAnsiTheme="minorHAnsi" w:cstheme="minorBidi"/>
          <w14:ligatures w14:val="standardContextual"/>
        </w:rPr>
      </w:pPr>
      <w:hyperlink w:anchor="_Toc242711232" w:history="1">
        <w:r w:rsidRPr="00C62759">
          <w:rPr>
            <w:rStyle w:val="Hyperlink"/>
          </w:rPr>
          <w:t>The Current Status of Health Care Provider Education in Medical Training</w:t>
        </w:r>
        <w:r>
          <w:rPr>
            <w:webHidden/>
          </w:rPr>
          <w:tab/>
        </w:r>
        <w:r>
          <w:rPr>
            <w:webHidden/>
          </w:rPr>
          <w:fldChar w:fldCharType="begin"/>
        </w:r>
        <w:r>
          <w:rPr>
            <w:webHidden/>
          </w:rPr>
          <w:instrText xml:space="preserve"> PAGEREF _Toc242711232 \h </w:instrText>
        </w:r>
        <w:r>
          <w:rPr>
            <w:webHidden/>
          </w:rPr>
        </w:r>
        <w:r>
          <w:rPr>
            <w:webHidden/>
          </w:rPr>
          <w:fldChar w:fldCharType="separate"/>
        </w:r>
        <w:r w:rsidR="00CA3D2C">
          <w:rPr>
            <w:webHidden/>
          </w:rPr>
          <w:t>21</w:t>
        </w:r>
        <w:r>
          <w:rPr>
            <w:webHidden/>
          </w:rPr>
          <w:fldChar w:fldCharType="end"/>
        </w:r>
      </w:hyperlink>
    </w:p>
    <w:p w14:paraId="3DFA7036" w14:textId="2D3BAFE8"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33" w:history="1">
        <w:r w:rsidRPr="00C62759">
          <w:rPr>
            <w:rStyle w:val="Hyperlink"/>
            <w:i/>
            <w:iCs/>
            <w:noProof/>
          </w:rPr>
          <w:t>University of Illinois Chicago Medical School</w:t>
        </w:r>
        <w:r>
          <w:rPr>
            <w:noProof/>
            <w:webHidden/>
          </w:rPr>
          <w:tab/>
        </w:r>
        <w:r>
          <w:rPr>
            <w:noProof/>
            <w:webHidden/>
          </w:rPr>
          <w:fldChar w:fldCharType="begin"/>
        </w:r>
        <w:r>
          <w:rPr>
            <w:noProof/>
            <w:webHidden/>
          </w:rPr>
          <w:instrText xml:space="preserve"> PAGEREF _Toc242711233 \h </w:instrText>
        </w:r>
        <w:r>
          <w:rPr>
            <w:noProof/>
            <w:webHidden/>
          </w:rPr>
        </w:r>
        <w:r>
          <w:rPr>
            <w:noProof/>
            <w:webHidden/>
          </w:rPr>
          <w:fldChar w:fldCharType="separate"/>
        </w:r>
        <w:r w:rsidR="00CA3D2C">
          <w:rPr>
            <w:noProof/>
            <w:webHidden/>
          </w:rPr>
          <w:t>23</w:t>
        </w:r>
        <w:r>
          <w:rPr>
            <w:noProof/>
            <w:webHidden/>
          </w:rPr>
          <w:fldChar w:fldCharType="end"/>
        </w:r>
      </w:hyperlink>
    </w:p>
    <w:p w14:paraId="4BAF995D" w14:textId="5B8255AA" w:rsidR="006C44B8" w:rsidRDefault="006C44B8">
      <w:pPr>
        <w:pStyle w:val="TOC2"/>
        <w:rPr>
          <w:rFonts w:asciiTheme="minorHAnsi" w:eastAsiaTheme="minorEastAsia" w:hAnsiTheme="minorHAnsi" w:cstheme="minorBidi"/>
          <w14:ligatures w14:val="standardContextual"/>
        </w:rPr>
      </w:pPr>
      <w:hyperlink w:anchor="_Toc242711234" w:history="1">
        <w:r w:rsidRPr="00C62759">
          <w:rPr>
            <w:rStyle w:val="Hyperlink"/>
          </w:rPr>
          <w:t>Correlation Between Clinical Confidence and Changes in the Care Provided</w:t>
        </w:r>
        <w:r>
          <w:rPr>
            <w:webHidden/>
          </w:rPr>
          <w:tab/>
        </w:r>
        <w:r>
          <w:rPr>
            <w:webHidden/>
          </w:rPr>
          <w:fldChar w:fldCharType="begin"/>
        </w:r>
        <w:r>
          <w:rPr>
            <w:webHidden/>
          </w:rPr>
          <w:instrText xml:space="preserve"> PAGEREF _Toc242711234 \h </w:instrText>
        </w:r>
        <w:r>
          <w:rPr>
            <w:webHidden/>
          </w:rPr>
        </w:r>
        <w:r>
          <w:rPr>
            <w:webHidden/>
          </w:rPr>
          <w:fldChar w:fldCharType="separate"/>
        </w:r>
        <w:r w:rsidR="00CA3D2C">
          <w:rPr>
            <w:webHidden/>
          </w:rPr>
          <w:t>24</w:t>
        </w:r>
        <w:r>
          <w:rPr>
            <w:webHidden/>
          </w:rPr>
          <w:fldChar w:fldCharType="end"/>
        </w:r>
      </w:hyperlink>
    </w:p>
    <w:p w14:paraId="2A9B6525" w14:textId="251A79A2" w:rsidR="006C44B8" w:rsidRDefault="006C44B8">
      <w:pPr>
        <w:pStyle w:val="TOC2"/>
        <w:rPr>
          <w:rFonts w:asciiTheme="minorHAnsi" w:eastAsiaTheme="minorEastAsia" w:hAnsiTheme="minorHAnsi" w:cstheme="minorBidi"/>
          <w14:ligatures w14:val="standardContextual"/>
        </w:rPr>
      </w:pPr>
      <w:hyperlink w:anchor="_Toc242711235" w:history="1">
        <w:r w:rsidRPr="00C62759">
          <w:rPr>
            <w:rStyle w:val="Hyperlink"/>
          </w:rPr>
          <w:t>Cost-Effectiveness</w:t>
        </w:r>
        <w:r>
          <w:rPr>
            <w:webHidden/>
          </w:rPr>
          <w:tab/>
        </w:r>
        <w:r>
          <w:rPr>
            <w:webHidden/>
          </w:rPr>
          <w:fldChar w:fldCharType="begin"/>
        </w:r>
        <w:r>
          <w:rPr>
            <w:webHidden/>
          </w:rPr>
          <w:instrText xml:space="preserve"> PAGEREF _Toc242711235 \h </w:instrText>
        </w:r>
        <w:r>
          <w:rPr>
            <w:webHidden/>
          </w:rPr>
        </w:r>
        <w:r>
          <w:rPr>
            <w:webHidden/>
          </w:rPr>
          <w:fldChar w:fldCharType="separate"/>
        </w:r>
        <w:r w:rsidR="00CA3D2C">
          <w:rPr>
            <w:webHidden/>
          </w:rPr>
          <w:t>25</w:t>
        </w:r>
        <w:r>
          <w:rPr>
            <w:webHidden/>
          </w:rPr>
          <w:fldChar w:fldCharType="end"/>
        </w:r>
      </w:hyperlink>
    </w:p>
    <w:p w14:paraId="2684068C" w14:textId="4D456B1E" w:rsidR="006C44B8" w:rsidRDefault="006C44B8">
      <w:pPr>
        <w:pStyle w:val="TOC2"/>
        <w:rPr>
          <w:rFonts w:asciiTheme="minorHAnsi" w:eastAsiaTheme="minorEastAsia" w:hAnsiTheme="minorHAnsi" w:cstheme="minorBidi"/>
          <w14:ligatures w14:val="standardContextual"/>
        </w:rPr>
      </w:pPr>
      <w:hyperlink w:anchor="_Toc242711236" w:history="1">
        <w:r w:rsidRPr="00C62759">
          <w:rPr>
            <w:rStyle w:val="Hyperlink"/>
          </w:rPr>
          <w:t>Conclusion and Recommendations</w:t>
        </w:r>
        <w:r>
          <w:rPr>
            <w:webHidden/>
          </w:rPr>
          <w:tab/>
        </w:r>
        <w:r>
          <w:rPr>
            <w:webHidden/>
          </w:rPr>
          <w:fldChar w:fldCharType="begin"/>
        </w:r>
        <w:r>
          <w:rPr>
            <w:webHidden/>
          </w:rPr>
          <w:instrText xml:space="preserve"> PAGEREF _Toc242711236 \h </w:instrText>
        </w:r>
        <w:r>
          <w:rPr>
            <w:webHidden/>
          </w:rPr>
        </w:r>
        <w:r>
          <w:rPr>
            <w:webHidden/>
          </w:rPr>
          <w:fldChar w:fldCharType="separate"/>
        </w:r>
        <w:r w:rsidR="00CA3D2C">
          <w:rPr>
            <w:webHidden/>
          </w:rPr>
          <w:t>26</w:t>
        </w:r>
        <w:r>
          <w:rPr>
            <w:webHidden/>
          </w:rPr>
          <w:fldChar w:fldCharType="end"/>
        </w:r>
      </w:hyperlink>
    </w:p>
    <w:p w14:paraId="31FBF4FD" w14:textId="4684A9D0" w:rsidR="006C44B8" w:rsidRDefault="006C44B8">
      <w:pPr>
        <w:pStyle w:val="TOC2"/>
        <w:rPr>
          <w:rFonts w:asciiTheme="minorHAnsi" w:eastAsiaTheme="minorEastAsia" w:hAnsiTheme="minorHAnsi" w:cstheme="minorBidi"/>
          <w14:ligatures w14:val="standardContextual"/>
        </w:rPr>
      </w:pPr>
      <w:hyperlink w:anchor="_Toc242711237" w:history="1">
        <w:r w:rsidRPr="00C62759">
          <w:rPr>
            <w:rStyle w:val="Hyperlink"/>
          </w:rPr>
          <w:t>Recommendations</w:t>
        </w:r>
        <w:r>
          <w:rPr>
            <w:webHidden/>
          </w:rPr>
          <w:tab/>
        </w:r>
        <w:r>
          <w:rPr>
            <w:webHidden/>
          </w:rPr>
          <w:fldChar w:fldCharType="begin"/>
        </w:r>
        <w:r>
          <w:rPr>
            <w:webHidden/>
          </w:rPr>
          <w:instrText xml:space="preserve"> PAGEREF _Toc242711237 \h </w:instrText>
        </w:r>
        <w:r>
          <w:rPr>
            <w:webHidden/>
          </w:rPr>
        </w:r>
        <w:r>
          <w:rPr>
            <w:webHidden/>
          </w:rPr>
          <w:fldChar w:fldCharType="separate"/>
        </w:r>
        <w:r w:rsidR="00CA3D2C">
          <w:rPr>
            <w:webHidden/>
          </w:rPr>
          <w:t>26</w:t>
        </w:r>
        <w:r>
          <w:rPr>
            <w:webHidden/>
          </w:rPr>
          <w:fldChar w:fldCharType="end"/>
        </w:r>
      </w:hyperlink>
    </w:p>
    <w:p w14:paraId="29F2565E" w14:textId="0A158EE1"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38" w:history="1">
        <w:r w:rsidRPr="00C62759">
          <w:rPr>
            <w:rStyle w:val="Hyperlink"/>
            <w:i/>
            <w:iCs/>
            <w:noProof/>
          </w:rPr>
          <w:t>Recommendations to the US Department of Health and Human Services</w:t>
        </w:r>
        <w:r>
          <w:rPr>
            <w:noProof/>
            <w:webHidden/>
          </w:rPr>
          <w:tab/>
        </w:r>
        <w:r>
          <w:rPr>
            <w:noProof/>
            <w:webHidden/>
          </w:rPr>
          <w:fldChar w:fldCharType="begin"/>
        </w:r>
        <w:r>
          <w:rPr>
            <w:noProof/>
            <w:webHidden/>
          </w:rPr>
          <w:instrText xml:space="preserve"> PAGEREF _Toc242711238 \h </w:instrText>
        </w:r>
        <w:r>
          <w:rPr>
            <w:noProof/>
            <w:webHidden/>
          </w:rPr>
        </w:r>
        <w:r>
          <w:rPr>
            <w:noProof/>
            <w:webHidden/>
          </w:rPr>
          <w:fldChar w:fldCharType="separate"/>
        </w:r>
        <w:r w:rsidR="00CA3D2C">
          <w:rPr>
            <w:noProof/>
            <w:webHidden/>
          </w:rPr>
          <w:t>26</w:t>
        </w:r>
        <w:r>
          <w:rPr>
            <w:noProof/>
            <w:webHidden/>
          </w:rPr>
          <w:fldChar w:fldCharType="end"/>
        </w:r>
      </w:hyperlink>
    </w:p>
    <w:p w14:paraId="50E8206D" w14:textId="26E3A863"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39" w:history="1">
        <w:r w:rsidRPr="00C62759">
          <w:rPr>
            <w:rStyle w:val="Hyperlink"/>
            <w:i/>
            <w:iCs/>
            <w:noProof/>
          </w:rPr>
          <w:t>Recommendation to State Lawmakers</w:t>
        </w:r>
        <w:r>
          <w:rPr>
            <w:noProof/>
            <w:webHidden/>
          </w:rPr>
          <w:tab/>
        </w:r>
        <w:r>
          <w:rPr>
            <w:noProof/>
            <w:webHidden/>
          </w:rPr>
          <w:fldChar w:fldCharType="begin"/>
        </w:r>
        <w:r>
          <w:rPr>
            <w:noProof/>
            <w:webHidden/>
          </w:rPr>
          <w:instrText xml:space="preserve"> PAGEREF _Toc242711239 \h </w:instrText>
        </w:r>
        <w:r>
          <w:rPr>
            <w:noProof/>
            <w:webHidden/>
          </w:rPr>
        </w:r>
        <w:r>
          <w:rPr>
            <w:noProof/>
            <w:webHidden/>
          </w:rPr>
          <w:fldChar w:fldCharType="separate"/>
        </w:r>
        <w:r w:rsidR="00CA3D2C">
          <w:rPr>
            <w:noProof/>
            <w:webHidden/>
          </w:rPr>
          <w:t>27</w:t>
        </w:r>
        <w:r>
          <w:rPr>
            <w:noProof/>
            <w:webHidden/>
          </w:rPr>
          <w:fldChar w:fldCharType="end"/>
        </w:r>
      </w:hyperlink>
    </w:p>
    <w:p w14:paraId="7430CBFD" w14:textId="275B0844"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40" w:history="1">
        <w:r w:rsidRPr="00C62759">
          <w:rPr>
            <w:rStyle w:val="Hyperlink"/>
            <w:i/>
            <w:iCs/>
            <w:noProof/>
          </w:rPr>
          <w:t>Recommendation to the Liaison Committee on Medical Education</w:t>
        </w:r>
        <w:r>
          <w:rPr>
            <w:noProof/>
            <w:webHidden/>
          </w:rPr>
          <w:tab/>
        </w:r>
        <w:r>
          <w:rPr>
            <w:noProof/>
            <w:webHidden/>
          </w:rPr>
          <w:fldChar w:fldCharType="begin"/>
        </w:r>
        <w:r>
          <w:rPr>
            <w:noProof/>
            <w:webHidden/>
          </w:rPr>
          <w:instrText xml:space="preserve"> PAGEREF _Toc242711240 \h </w:instrText>
        </w:r>
        <w:r>
          <w:rPr>
            <w:noProof/>
            <w:webHidden/>
          </w:rPr>
        </w:r>
        <w:r>
          <w:rPr>
            <w:noProof/>
            <w:webHidden/>
          </w:rPr>
          <w:fldChar w:fldCharType="separate"/>
        </w:r>
        <w:r w:rsidR="00CA3D2C">
          <w:rPr>
            <w:noProof/>
            <w:webHidden/>
          </w:rPr>
          <w:t>27</w:t>
        </w:r>
        <w:r>
          <w:rPr>
            <w:noProof/>
            <w:webHidden/>
          </w:rPr>
          <w:fldChar w:fldCharType="end"/>
        </w:r>
      </w:hyperlink>
    </w:p>
    <w:p w14:paraId="0F0E9350" w14:textId="37B466F8"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41" w:history="1">
        <w:r w:rsidRPr="00C62759">
          <w:rPr>
            <w:rStyle w:val="Hyperlink"/>
            <w:i/>
            <w:iCs/>
            <w:noProof/>
          </w:rPr>
          <w:t>Recommendation to the Association of American Medical Colleges</w:t>
        </w:r>
        <w:r>
          <w:rPr>
            <w:noProof/>
            <w:webHidden/>
          </w:rPr>
          <w:tab/>
        </w:r>
        <w:r>
          <w:rPr>
            <w:noProof/>
            <w:webHidden/>
          </w:rPr>
          <w:fldChar w:fldCharType="begin"/>
        </w:r>
        <w:r>
          <w:rPr>
            <w:noProof/>
            <w:webHidden/>
          </w:rPr>
          <w:instrText xml:space="preserve"> PAGEREF _Toc242711241 \h </w:instrText>
        </w:r>
        <w:r>
          <w:rPr>
            <w:noProof/>
            <w:webHidden/>
          </w:rPr>
        </w:r>
        <w:r>
          <w:rPr>
            <w:noProof/>
            <w:webHidden/>
          </w:rPr>
          <w:fldChar w:fldCharType="separate"/>
        </w:r>
        <w:r w:rsidR="00CA3D2C">
          <w:rPr>
            <w:noProof/>
            <w:webHidden/>
          </w:rPr>
          <w:t>27</w:t>
        </w:r>
        <w:r>
          <w:rPr>
            <w:noProof/>
            <w:webHidden/>
          </w:rPr>
          <w:fldChar w:fldCharType="end"/>
        </w:r>
      </w:hyperlink>
    </w:p>
    <w:p w14:paraId="3D3614D7" w14:textId="67ED886B"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42" w:history="1">
        <w:r w:rsidRPr="00C62759">
          <w:rPr>
            <w:rStyle w:val="Hyperlink"/>
            <w:i/>
            <w:iCs/>
            <w:noProof/>
          </w:rPr>
          <w:t>Recommendation to the Association of Graduate Medical Education</w:t>
        </w:r>
        <w:r>
          <w:rPr>
            <w:noProof/>
            <w:webHidden/>
          </w:rPr>
          <w:tab/>
        </w:r>
        <w:r>
          <w:rPr>
            <w:noProof/>
            <w:webHidden/>
          </w:rPr>
          <w:fldChar w:fldCharType="begin"/>
        </w:r>
        <w:r>
          <w:rPr>
            <w:noProof/>
            <w:webHidden/>
          </w:rPr>
          <w:instrText xml:space="preserve"> PAGEREF _Toc242711242 \h </w:instrText>
        </w:r>
        <w:r>
          <w:rPr>
            <w:noProof/>
            <w:webHidden/>
          </w:rPr>
        </w:r>
        <w:r>
          <w:rPr>
            <w:noProof/>
            <w:webHidden/>
          </w:rPr>
          <w:fldChar w:fldCharType="separate"/>
        </w:r>
        <w:r w:rsidR="00CA3D2C">
          <w:rPr>
            <w:noProof/>
            <w:webHidden/>
          </w:rPr>
          <w:t>27</w:t>
        </w:r>
        <w:r>
          <w:rPr>
            <w:noProof/>
            <w:webHidden/>
          </w:rPr>
          <w:fldChar w:fldCharType="end"/>
        </w:r>
      </w:hyperlink>
    </w:p>
    <w:p w14:paraId="5ECA5F75" w14:textId="7FB8D70D"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43" w:history="1">
        <w:r w:rsidRPr="00C62759">
          <w:rPr>
            <w:rStyle w:val="Hyperlink"/>
            <w:i/>
            <w:iCs/>
            <w:noProof/>
          </w:rPr>
          <w:t>Recommendation to the Commission on Osteopathic College Accreditation</w:t>
        </w:r>
        <w:r>
          <w:rPr>
            <w:noProof/>
            <w:webHidden/>
          </w:rPr>
          <w:tab/>
        </w:r>
        <w:r>
          <w:rPr>
            <w:noProof/>
            <w:webHidden/>
          </w:rPr>
          <w:fldChar w:fldCharType="begin"/>
        </w:r>
        <w:r>
          <w:rPr>
            <w:noProof/>
            <w:webHidden/>
          </w:rPr>
          <w:instrText xml:space="preserve"> PAGEREF _Toc242711243 \h </w:instrText>
        </w:r>
        <w:r>
          <w:rPr>
            <w:noProof/>
            <w:webHidden/>
          </w:rPr>
        </w:r>
        <w:r>
          <w:rPr>
            <w:noProof/>
            <w:webHidden/>
          </w:rPr>
          <w:fldChar w:fldCharType="separate"/>
        </w:r>
        <w:r w:rsidR="00CA3D2C">
          <w:rPr>
            <w:noProof/>
            <w:webHidden/>
          </w:rPr>
          <w:t>27</w:t>
        </w:r>
        <w:r>
          <w:rPr>
            <w:noProof/>
            <w:webHidden/>
          </w:rPr>
          <w:fldChar w:fldCharType="end"/>
        </w:r>
      </w:hyperlink>
    </w:p>
    <w:p w14:paraId="14BD062A" w14:textId="366691BD"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44" w:history="1">
        <w:r w:rsidRPr="00C62759">
          <w:rPr>
            <w:rStyle w:val="Hyperlink"/>
            <w:i/>
            <w:iCs/>
            <w:noProof/>
          </w:rPr>
          <w:t>Recommendation to the Joint Commission (on Hospital Accreditation)</w:t>
        </w:r>
        <w:r>
          <w:rPr>
            <w:noProof/>
            <w:webHidden/>
          </w:rPr>
          <w:tab/>
        </w:r>
        <w:r>
          <w:rPr>
            <w:noProof/>
            <w:webHidden/>
          </w:rPr>
          <w:fldChar w:fldCharType="begin"/>
        </w:r>
        <w:r>
          <w:rPr>
            <w:noProof/>
            <w:webHidden/>
          </w:rPr>
          <w:instrText xml:space="preserve"> PAGEREF _Toc242711244 \h </w:instrText>
        </w:r>
        <w:r>
          <w:rPr>
            <w:noProof/>
            <w:webHidden/>
          </w:rPr>
        </w:r>
        <w:r>
          <w:rPr>
            <w:noProof/>
            <w:webHidden/>
          </w:rPr>
          <w:fldChar w:fldCharType="separate"/>
        </w:r>
        <w:r w:rsidR="00CA3D2C">
          <w:rPr>
            <w:noProof/>
            <w:webHidden/>
          </w:rPr>
          <w:t>27</w:t>
        </w:r>
        <w:r>
          <w:rPr>
            <w:noProof/>
            <w:webHidden/>
          </w:rPr>
          <w:fldChar w:fldCharType="end"/>
        </w:r>
      </w:hyperlink>
    </w:p>
    <w:p w14:paraId="32A239FF" w14:textId="565150EC" w:rsidR="006C44B8" w:rsidRDefault="006C44B8">
      <w:pPr>
        <w:pStyle w:val="TOC3"/>
        <w:tabs>
          <w:tab w:val="right" w:leader="dot" w:pos="9350"/>
        </w:tabs>
        <w:rPr>
          <w:rFonts w:asciiTheme="minorHAnsi" w:eastAsiaTheme="minorEastAsia" w:hAnsiTheme="minorHAnsi" w:cstheme="minorBidi"/>
          <w:noProof/>
          <w14:ligatures w14:val="standardContextual"/>
        </w:rPr>
      </w:pPr>
      <w:hyperlink w:anchor="_Toc242711245" w:history="1">
        <w:r w:rsidRPr="00C62759">
          <w:rPr>
            <w:rStyle w:val="Hyperlink"/>
            <w:i/>
            <w:iCs/>
            <w:noProof/>
          </w:rPr>
          <w:t xml:space="preserve">Recommendation Concerning Medical Professional State Licensing </w:t>
        </w:r>
        <w:r w:rsidR="00850E8C">
          <w:rPr>
            <w:rStyle w:val="Hyperlink"/>
            <w:i/>
            <w:iCs/>
            <w:noProof/>
          </w:rPr>
          <w:br/>
        </w:r>
        <w:r w:rsidRPr="00C62759">
          <w:rPr>
            <w:rStyle w:val="Hyperlink"/>
            <w:i/>
            <w:iCs/>
            <w:noProof/>
          </w:rPr>
          <w:t>Examinations</w:t>
        </w:r>
        <w:r>
          <w:rPr>
            <w:noProof/>
            <w:webHidden/>
          </w:rPr>
          <w:tab/>
        </w:r>
        <w:r>
          <w:rPr>
            <w:noProof/>
            <w:webHidden/>
          </w:rPr>
          <w:fldChar w:fldCharType="begin"/>
        </w:r>
        <w:r>
          <w:rPr>
            <w:noProof/>
            <w:webHidden/>
          </w:rPr>
          <w:instrText xml:space="preserve"> PAGEREF _Toc242711245 \h </w:instrText>
        </w:r>
        <w:r>
          <w:rPr>
            <w:noProof/>
            <w:webHidden/>
          </w:rPr>
        </w:r>
        <w:r>
          <w:rPr>
            <w:noProof/>
            <w:webHidden/>
          </w:rPr>
          <w:fldChar w:fldCharType="separate"/>
        </w:r>
        <w:r w:rsidR="00CA3D2C">
          <w:rPr>
            <w:noProof/>
            <w:webHidden/>
          </w:rPr>
          <w:t>28</w:t>
        </w:r>
        <w:r>
          <w:rPr>
            <w:noProof/>
            <w:webHidden/>
          </w:rPr>
          <w:fldChar w:fldCharType="end"/>
        </w:r>
      </w:hyperlink>
    </w:p>
    <w:p w14:paraId="1497C315" w14:textId="362904E7" w:rsidR="006C44B8" w:rsidRDefault="006C44B8">
      <w:pPr>
        <w:pStyle w:val="TOC1"/>
        <w:tabs>
          <w:tab w:val="right" w:leader="dot" w:pos="9350"/>
        </w:tabs>
        <w:rPr>
          <w:rFonts w:asciiTheme="minorHAnsi" w:eastAsiaTheme="minorEastAsia" w:hAnsiTheme="minorHAnsi" w:cstheme="minorBidi"/>
          <w:noProof/>
          <w14:ligatures w14:val="standardContextual"/>
        </w:rPr>
      </w:pPr>
      <w:hyperlink w:anchor="_Toc242711246" w:history="1">
        <w:r w:rsidRPr="00C62759">
          <w:rPr>
            <w:rStyle w:val="Hyperlink"/>
            <w:noProof/>
          </w:rPr>
          <w:t>Endnotes</w:t>
        </w:r>
        <w:r>
          <w:rPr>
            <w:noProof/>
            <w:webHidden/>
          </w:rPr>
          <w:tab/>
        </w:r>
        <w:r>
          <w:rPr>
            <w:noProof/>
            <w:webHidden/>
          </w:rPr>
          <w:fldChar w:fldCharType="begin"/>
        </w:r>
        <w:r>
          <w:rPr>
            <w:noProof/>
            <w:webHidden/>
          </w:rPr>
          <w:instrText xml:space="preserve"> PAGEREF _Toc242711246 \h </w:instrText>
        </w:r>
        <w:r>
          <w:rPr>
            <w:noProof/>
            <w:webHidden/>
          </w:rPr>
        </w:r>
        <w:r>
          <w:rPr>
            <w:noProof/>
            <w:webHidden/>
          </w:rPr>
          <w:fldChar w:fldCharType="separate"/>
        </w:r>
        <w:r w:rsidR="00CA3D2C">
          <w:rPr>
            <w:noProof/>
            <w:webHidden/>
          </w:rPr>
          <w:t>29</w:t>
        </w:r>
        <w:r>
          <w:rPr>
            <w:noProof/>
            <w:webHidden/>
          </w:rPr>
          <w:fldChar w:fldCharType="end"/>
        </w:r>
      </w:hyperlink>
    </w:p>
    <w:p w14:paraId="27EB5096" w14:textId="1D23AF22" w:rsidR="001B5A3A" w:rsidRPr="00E31AD0" w:rsidRDefault="001017BA" w:rsidP="00E31AD0">
      <w:pPr>
        <w:pStyle w:val="TOC1"/>
        <w:tabs>
          <w:tab w:val="right" w:leader="dot" w:pos="9350"/>
        </w:tabs>
        <w:suppressAutoHyphens/>
        <w:rPr>
          <w:rFonts w:asciiTheme="minorBidi" w:hAnsiTheme="minorBidi" w:cstheme="minorBidi"/>
        </w:rPr>
      </w:pPr>
      <w:r w:rsidRPr="00E31AD0">
        <w:rPr>
          <w:rFonts w:asciiTheme="minorBidi" w:hAnsiTheme="minorBidi" w:cstheme="minorBidi"/>
        </w:rPr>
        <w:fldChar w:fldCharType="end"/>
      </w:r>
      <w:bookmarkStart w:id="65" w:name="_Toc210062685"/>
    </w:p>
    <w:p w14:paraId="38A0C605" w14:textId="77777777" w:rsidR="001B5A3A" w:rsidRPr="00E31AD0" w:rsidRDefault="001B5A3A" w:rsidP="00E31AD0">
      <w:pPr>
        <w:suppressAutoHyphens/>
        <w:spacing w:after="0" w:line="240" w:lineRule="auto"/>
        <w:rPr>
          <w:rFonts w:asciiTheme="minorBidi" w:hAnsiTheme="minorBidi" w:cstheme="minorBidi"/>
        </w:rPr>
      </w:pPr>
      <w:r w:rsidRPr="00E31AD0">
        <w:rPr>
          <w:rFonts w:asciiTheme="minorBidi" w:hAnsiTheme="minorBidi" w:cstheme="minorBidi"/>
        </w:rPr>
        <w:br w:type="page"/>
      </w:r>
    </w:p>
    <w:p w14:paraId="26088859" w14:textId="77777777" w:rsidR="00E02DA1" w:rsidRDefault="00E02DA1">
      <w:pPr>
        <w:spacing w:after="0" w:line="240" w:lineRule="auto"/>
        <w:rPr>
          <w:rFonts w:eastAsia="Times New Roman" w:cs="Arial"/>
          <w:b/>
          <w:bCs/>
          <w:color w:val="000000"/>
          <w:sz w:val="36"/>
          <w:szCs w:val="36"/>
        </w:rPr>
      </w:pPr>
      <w:bookmarkStart w:id="66" w:name="_Toc242095188"/>
      <w:bookmarkEnd w:id="65"/>
      <w:r>
        <w:lastRenderedPageBreak/>
        <w:br w:type="page"/>
      </w:r>
    </w:p>
    <w:p w14:paraId="1E10B1EC" w14:textId="2A4D8BF6" w:rsidR="001B5A3A" w:rsidRPr="00E31AD0" w:rsidRDefault="001B5A3A" w:rsidP="00E31AD0">
      <w:pPr>
        <w:pStyle w:val="Heading1"/>
        <w:keepNext w:val="0"/>
        <w:keepLines w:val="0"/>
        <w:suppressAutoHyphens/>
      </w:pPr>
      <w:bookmarkStart w:id="67" w:name="_Toc242711223"/>
      <w:bookmarkEnd w:id="66"/>
      <w:r w:rsidRPr="00E31AD0">
        <w:lastRenderedPageBreak/>
        <w:t>Introduction</w:t>
      </w:r>
      <w:bookmarkEnd w:id="67"/>
    </w:p>
    <w:p w14:paraId="01866781" w14:textId="77777777" w:rsidR="001B5A3A" w:rsidRPr="00E31AD0" w:rsidRDefault="001B5A3A" w:rsidP="00E31AD0">
      <w:pPr>
        <w:pStyle w:val="NCDBodyText"/>
        <w:rPr>
          <w:rFonts w:cs="Arial"/>
          <w:color w:val="auto"/>
        </w:rPr>
      </w:pPr>
      <w:r w:rsidRPr="00E31AD0">
        <w:rPr>
          <w:rFonts w:cs="Arial"/>
          <w:color w:val="auto"/>
        </w:rPr>
        <w:t>The National Council on Disability (NCD) has consistently emphasized that good health, including mental, physical, and overall well-being, is the foundation for a person’s ability to not just live but also to thrive. However, for many of the more than 61 million people with disabilities in the United States,</w:t>
      </w:r>
      <w:r w:rsidRPr="00E31AD0">
        <w:rPr>
          <w:rStyle w:val="EndnoteReference"/>
          <w:rFonts w:cs="Arial"/>
          <w:color w:val="auto"/>
        </w:rPr>
        <w:endnoteReference w:id="2"/>
      </w:r>
      <w:r w:rsidRPr="00E31AD0">
        <w:rPr>
          <w:rFonts w:cs="Arial"/>
          <w:color w:val="auto"/>
        </w:rPr>
        <w:t xml:space="preserve"> achieving and sustaining good health have been hindered by a health care system that has not adequately welcomed or served them. Simply put, the health care providers that many people with disabilities see for examination and treatment are largely untrained to do so. This phenomenon is driven by a persistent failure to integrate disability clinical care and competency training into medical, nursing, and other health professions curricula. Even federally financed medical, nursing, health care professional, and allied health professional schools, as well as postgraduate residency and fellowship programs, do not, for the most part, incorporate disability clinical care into curricula or training. Perhaps because of being ill-prepared, many clinicians choose not to treat patients with disabilities at all.</w:t>
      </w:r>
      <w:r w:rsidRPr="00E31AD0">
        <w:rPr>
          <w:rStyle w:val="EndnoteReference"/>
          <w:rFonts w:cs="Arial"/>
          <w:color w:val="auto"/>
        </w:rPr>
        <w:endnoteReference w:id="3"/>
      </w:r>
    </w:p>
    <w:p w14:paraId="1C3D7F41" w14:textId="77777777" w:rsidR="001B5A3A" w:rsidRPr="00E31AD0" w:rsidRDefault="001B5A3A" w:rsidP="00E31AD0">
      <w:pPr>
        <w:pStyle w:val="NCDBodyText"/>
        <w:suppressAutoHyphens/>
        <w:rPr>
          <w:rFonts w:cs="Arial"/>
          <w:color w:val="auto"/>
        </w:rPr>
      </w:pPr>
      <w:r w:rsidRPr="00E31AD0">
        <w:rPr>
          <w:rFonts w:cs="Arial"/>
          <w:color w:val="auto"/>
        </w:rPr>
        <w:t>This deficiency in medical training among medical professionals can perpetuate discrimination in health care against people with disabilities and, in conjunction with traditional didactic teaching that frames disability as a medical problem needing treatment, helps preserve negative bias against people with disabilities.</w:t>
      </w:r>
      <w:r w:rsidRPr="00E31AD0">
        <w:rPr>
          <w:rStyle w:val="EndnoteReference"/>
          <w:rFonts w:cs="Arial"/>
          <w:color w:val="auto"/>
        </w:rPr>
        <w:endnoteReference w:id="4"/>
      </w:r>
      <w:r w:rsidRPr="00E31AD0">
        <w:rPr>
          <w:rFonts w:cs="Arial"/>
          <w:color w:val="auto"/>
        </w:rPr>
        <w:t xml:space="preserve"> People with disabilities report higher dissatisfaction with the quality and accessibility of the medical care they receive and are more likely to experience unmet health needs and worse health outcomes than those without disabilities.</w:t>
      </w:r>
      <w:r w:rsidRPr="00E31AD0">
        <w:rPr>
          <w:rStyle w:val="EndnoteReference"/>
          <w:rFonts w:cs="Arial"/>
          <w:color w:val="auto"/>
        </w:rPr>
        <w:endnoteReference w:id="5"/>
      </w:r>
      <w:r w:rsidRPr="00E31AD0">
        <w:rPr>
          <w:rFonts w:cs="Arial"/>
          <w:color w:val="auto"/>
        </w:rPr>
        <w:t xml:space="preserve"> Certainly, the lack of comprehensive disability clinical care and competency training contributes to the disparate health outcomes of people with disabilities. In 2023, the National Institute on Minority Health and Health Disparities of the National Institutes of Health (NIH) recognized people with disabilities as one of five NIH-designated populations with health disparities.</w:t>
      </w:r>
      <w:r w:rsidRPr="00E31AD0">
        <w:rPr>
          <w:rStyle w:val="EndnoteReference"/>
          <w:rFonts w:cs="Arial"/>
          <w:color w:val="auto"/>
        </w:rPr>
        <w:endnoteReference w:id="6"/>
      </w:r>
    </w:p>
    <w:p w14:paraId="7E47ADB6" w14:textId="77777777" w:rsidR="001B5A3A" w:rsidRPr="00E31AD0" w:rsidRDefault="001B5A3A" w:rsidP="00E31AD0">
      <w:pPr>
        <w:pStyle w:val="NCDBodyText"/>
        <w:suppressAutoHyphens/>
        <w:rPr>
          <w:rFonts w:cs="Arial"/>
          <w:color w:val="auto"/>
        </w:rPr>
      </w:pPr>
      <w:r w:rsidRPr="00E31AD0">
        <w:rPr>
          <w:rFonts w:cs="Arial"/>
          <w:color w:val="auto"/>
        </w:rPr>
        <w:t xml:space="preserve">In 2022, NCD developed a </w:t>
      </w:r>
      <w:r w:rsidRPr="00E31AD0">
        <w:rPr>
          <w:rFonts w:cs="Arial"/>
          <w:i/>
          <w:iCs/>
          <w:color w:val="auto"/>
        </w:rPr>
        <w:t>Framework to End Health Disparities of People with Disabilities</w:t>
      </w:r>
      <w:r w:rsidRPr="00E31AD0">
        <w:rPr>
          <w:rStyle w:val="EndnoteReference"/>
          <w:rFonts w:cs="Arial"/>
          <w:i/>
          <w:iCs/>
          <w:color w:val="auto"/>
        </w:rPr>
        <w:endnoteReference w:id="7"/>
      </w:r>
      <w:r w:rsidRPr="00E31AD0">
        <w:rPr>
          <w:rFonts w:cs="Arial"/>
          <w:color w:val="auto"/>
        </w:rPr>
        <w:t xml:space="preserve"> that encompassed five core recommendations, including (1) designating people with disabilities as a Special Medically Underserved Population under the Public Health Services Act; (2) designating people with disabilities as a Health Disparity </w:t>
      </w:r>
      <w:r w:rsidRPr="00E31AD0">
        <w:rPr>
          <w:rFonts w:cs="Arial"/>
          <w:color w:val="auto"/>
        </w:rPr>
        <w:lastRenderedPageBreak/>
        <w:t>Population under the Minority Health and Health Disparities Research and Education Act (subsequently designated in September 2023); (3) requiring the use of accessible medical and diagnostic equipment (required as of July 2024); (4) improving data collection concerning health care for people with disabilities across the lifespan; and (5) requiring comprehensive disability clinical care curricula in all US medical, nursing, and other health care professional schools and requiring disability competency education and training of medical, nursing, and other health care professionals.</w:t>
      </w:r>
    </w:p>
    <w:p w14:paraId="1EE0274D" w14:textId="77777777" w:rsidR="001B5A3A" w:rsidRPr="00E31AD0" w:rsidRDefault="001B5A3A" w:rsidP="00E31AD0">
      <w:pPr>
        <w:pStyle w:val="NCDBodyText"/>
        <w:suppressAutoHyphens/>
        <w:rPr>
          <w:rFonts w:cs="Arial"/>
          <w:color w:val="auto"/>
        </w:rPr>
      </w:pPr>
      <w:r w:rsidRPr="00E31AD0">
        <w:rPr>
          <w:rFonts w:cs="Arial"/>
          <w:color w:val="auto"/>
        </w:rPr>
        <w:t>In an effort to further address the recommendation concerning necessary disability clinical care and competency education and training, NCD has conducted extensive research; solicited input through its Requests for Information</w:t>
      </w:r>
      <w:r w:rsidRPr="00E31AD0">
        <w:rPr>
          <w:rStyle w:val="EndnoteReference"/>
          <w:rFonts w:cs="Arial"/>
          <w:color w:val="auto"/>
        </w:rPr>
        <w:endnoteReference w:id="8"/>
      </w:r>
      <w:r w:rsidRPr="00E31AD0">
        <w:rPr>
          <w:rFonts w:cs="Arial"/>
          <w:color w:val="auto"/>
        </w:rPr>
        <w:t xml:space="preserve">; received public comment through its public meetings held across the United States; and conferred with stakeholders, including industry experts and government and nongovernment organizations empowered to enact policy in this space. This policy brief summarizes NCD’s additional findings and provides recommendations for legislation and policy updates. Undoubtedly, disability clinical care training is a solution to an obviously significant problem that is currently underused and inconsistently applied in US health care education and training, with </w:t>
      </w:r>
      <w:proofErr w:type="gramStart"/>
      <w:r w:rsidRPr="00E31AD0">
        <w:rPr>
          <w:rFonts w:cs="Arial"/>
          <w:color w:val="auto"/>
        </w:rPr>
        <w:t>the vast majority of</w:t>
      </w:r>
      <w:proofErr w:type="gramEnd"/>
      <w:r w:rsidRPr="00E31AD0">
        <w:rPr>
          <w:rFonts w:cs="Arial"/>
          <w:color w:val="auto"/>
        </w:rPr>
        <w:t xml:space="preserve"> institutions lacking comprehensive programs. This must be remedied.</w:t>
      </w:r>
    </w:p>
    <w:p w14:paraId="185080BA" w14:textId="77777777" w:rsidR="001B5A3A" w:rsidRPr="00E31AD0" w:rsidRDefault="001B5A3A" w:rsidP="00647A2E">
      <w:pPr>
        <w:pStyle w:val="Heading2"/>
      </w:pPr>
      <w:bookmarkStart w:id="68" w:name="_Toc242711224"/>
      <w:r w:rsidRPr="00E31AD0">
        <w:t>The Effect of Lacking Disability Clinical Care Training on Health Care Providers</w:t>
      </w:r>
      <w:bookmarkEnd w:id="68"/>
    </w:p>
    <w:p w14:paraId="63672B8C" w14:textId="77777777" w:rsidR="001B5A3A" w:rsidRPr="00E31AD0" w:rsidRDefault="001B5A3A" w:rsidP="00E31AD0">
      <w:pPr>
        <w:pStyle w:val="NCDBodyText"/>
        <w:suppressAutoHyphens/>
        <w:rPr>
          <w:rFonts w:cs="Arial"/>
          <w:color w:val="auto"/>
        </w:rPr>
      </w:pPr>
      <w:r w:rsidRPr="00E31AD0">
        <w:rPr>
          <w:rFonts w:cs="Arial"/>
          <w:color w:val="auto"/>
        </w:rPr>
        <w:t>Fundamentally, many clinicians are not properly trained to even communicate with people with disabilities who might express themselves differently or know how to communicate with caregivers only when appropriate. Additionally, they are not trained to know how to support independent decision making by people with disabilities, nor do they understand how disabilities that begin in childhood can change throughout adulthood. It is profoundly unsustainable that people with disabilities have no choice but to see health care providers who were never trained to properly treat the patients in front of them.</w:t>
      </w:r>
    </w:p>
    <w:p w14:paraId="07FE7ABF" w14:textId="77777777" w:rsidR="001B5A3A" w:rsidRPr="00E31AD0" w:rsidRDefault="001B5A3A" w:rsidP="00E31AD0">
      <w:pPr>
        <w:pStyle w:val="NCDBodyText"/>
        <w:suppressAutoHyphens/>
        <w:rPr>
          <w:rFonts w:cs="Arial"/>
          <w:color w:val="auto"/>
        </w:rPr>
      </w:pPr>
      <w:r w:rsidRPr="00E31AD0">
        <w:rPr>
          <w:rFonts w:cs="Arial"/>
          <w:color w:val="auto"/>
        </w:rPr>
        <w:lastRenderedPageBreak/>
        <w:t>Several studies have examined the impact this issue has had on health care providers, as well as the health of people with disabilities, the results of which shock the conscience. Providers often do not know the basic civil rights that patients with disabilities have when walking into a doctor’s office. As reported in one study, when asked about their knowledge of the Americans with Disabilities Act (ADA), nearly all physicians reported having little or no training on the law and its implications for their practices. One study participant who is a specialist said, “I know they offer conferences and lectures, but this is a personal choice if you want to take it or not.”</w:t>
      </w:r>
      <w:r w:rsidRPr="00E31AD0">
        <w:rPr>
          <w:rStyle w:val="EndnoteReference"/>
          <w:rFonts w:cs="Arial"/>
          <w:color w:val="auto"/>
        </w:rPr>
        <w:endnoteReference w:id="9"/>
      </w:r>
      <w:r w:rsidRPr="00E31AD0">
        <w:rPr>
          <w:rFonts w:cs="Arial"/>
          <w:color w:val="auto"/>
        </w:rPr>
        <w:t xml:space="preserve"> In general, physician attitudes about the ADA conveyed in the study were apathetic and even adversarial. Many physicians expressed explicit bias toward people with disabilities and described strategies for discharging them from their practices.</w:t>
      </w:r>
      <w:r w:rsidRPr="00E31AD0">
        <w:rPr>
          <w:rStyle w:val="EndnoteReference"/>
          <w:rFonts w:cs="Arial"/>
          <w:color w:val="auto"/>
        </w:rPr>
        <w:endnoteReference w:id="10"/>
      </w:r>
      <w:r w:rsidRPr="00E31AD0">
        <w:rPr>
          <w:rFonts w:cs="Arial"/>
          <w:color w:val="auto"/>
        </w:rPr>
        <w:t xml:space="preserve"> Another survey of 714 practicing US physicians (primary care physicians and subspecialists) found that only 41% reported that they were “very confident” about their ability to provide the same quality of care to people with disabilities as those without, and just 57% strongly agreed that they welcomed people with disabilities into their practices.</w:t>
      </w:r>
      <w:r w:rsidRPr="00E31AD0">
        <w:rPr>
          <w:rStyle w:val="EndnoteReference"/>
          <w:rFonts w:cs="Arial"/>
          <w:color w:val="auto"/>
        </w:rPr>
        <w:endnoteReference w:id="11"/>
      </w:r>
    </w:p>
    <w:p w14:paraId="48B79F8B" w14:textId="77777777" w:rsidR="001B5A3A" w:rsidRPr="00647A2E" w:rsidRDefault="001B5A3A" w:rsidP="00647A2E">
      <w:pPr>
        <w:pStyle w:val="Heading3"/>
        <w:rPr>
          <w:i/>
          <w:iCs/>
        </w:rPr>
      </w:pPr>
      <w:bookmarkStart w:id="69" w:name="_Toc242711225"/>
      <w:r w:rsidRPr="00647A2E">
        <w:rPr>
          <w:i/>
          <w:iCs/>
        </w:rPr>
        <w:t>Diagnostic Overshadowing</w:t>
      </w:r>
      <w:bookmarkEnd w:id="69"/>
    </w:p>
    <w:p w14:paraId="47706D24" w14:textId="77777777" w:rsidR="001B5A3A" w:rsidRPr="00E31AD0" w:rsidRDefault="001B5A3A" w:rsidP="00E31AD0">
      <w:pPr>
        <w:pStyle w:val="NCDBodyText"/>
        <w:suppressAutoHyphens/>
        <w:rPr>
          <w:rFonts w:cs="Arial"/>
          <w:color w:val="auto"/>
        </w:rPr>
      </w:pPr>
      <w:r w:rsidRPr="00E31AD0">
        <w:rPr>
          <w:rFonts w:cs="Arial"/>
          <w:color w:val="auto"/>
        </w:rPr>
        <w:t>If physicians do welcome people with disabilities into their practices, there is a risk that these untrained physicians may misdiagnose them, assuming a person’s disability is causing new symptoms instead of considering the potential of a new disease or medical issue. This is called diagnostic overshadowing.</w:t>
      </w:r>
    </w:p>
    <w:p w14:paraId="3F17C928" w14:textId="77777777" w:rsidR="001B5A3A" w:rsidRPr="00E31AD0" w:rsidRDefault="001B5A3A" w:rsidP="00E31AD0">
      <w:pPr>
        <w:pStyle w:val="NCDBodyText"/>
        <w:suppressAutoHyphens/>
        <w:rPr>
          <w:rFonts w:cs="Arial"/>
          <w:color w:val="auto"/>
        </w:rPr>
      </w:pPr>
      <w:r w:rsidRPr="00E31AD0">
        <w:rPr>
          <w:rFonts w:cs="Arial"/>
          <w:color w:val="auto"/>
        </w:rPr>
        <w:t>Relatedly, and because of a lack of training and familiarity, people with disabilities are sometimes viewed as asexual.</w:t>
      </w:r>
      <w:r w:rsidRPr="00E31AD0">
        <w:rPr>
          <w:rStyle w:val="EndnoteReference"/>
          <w:rFonts w:cs="Arial"/>
          <w:color w:val="auto"/>
        </w:rPr>
        <w:endnoteReference w:id="12"/>
      </w:r>
      <w:r w:rsidRPr="00E31AD0">
        <w:rPr>
          <w:rFonts w:cs="Arial"/>
          <w:color w:val="auto"/>
        </w:rPr>
        <w:t xml:space="preserve"> These assumptions may contribute to the finding that women with disabilities undergo colon cancer screening at similar rates as their nondisabled peers but experience disparities in breast cancer and cervical cancer screening.</w:t>
      </w:r>
      <w:r w:rsidRPr="00E31AD0">
        <w:rPr>
          <w:rStyle w:val="EndnoteReference"/>
          <w:rFonts w:cs="Arial"/>
          <w:color w:val="auto"/>
        </w:rPr>
        <w:endnoteReference w:id="13"/>
      </w:r>
      <w:r w:rsidRPr="00E31AD0">
        <w:rPr>
          <w:rFonts w:cs="Arial"/>
          <w:color w:val="auto"/>
        </w:rPr>
        <w:t xml:space="preserve"> The sexual health of women with intellectual disabilities is particularly ignored in terms of screening for breast and cervical cancers.</w:t>
      </w:r>
      <w:r w:rsidRPr="00E31AD0">
        <w:rPr>
          <w:rStyle w:val="EndnoteReference"/>
          <w:rFonts w:cs="Arial"/>
          <w:color w:val="auto"/>
        </w:rPr>
        <w:endnoteReference w:id="14"/>
      </w:r>
      <w:r w:rsidRPr="00E31AD0">
        <w:rPr>
          <w:rFonts w:cs="Arial"/>
          <w:color w:val="auto"/>
        </w:rPr>
        <w:t xml:space="preserve"> These training shortcomings and their corresponding diagnostic overshadowing contribute significantly to unequal health outcomes and unsafe care.</w:t>
      </w:r>
    </w:p>
    <w:p w14:paraId="0E8CDD86" w14:textId="77777777" w:rsidR="001B5A3A" w:rsidRPr="00647A2E" w:rsidRDefault="001B5A3A" w:rsidP="00647A2E">
      <w:pPr>
        <w:pStyle w:val="Heading2"/>
      </w:pPr>
      <w:bookmarkStart w:id="70" w:name="_Toc242711226"/>
      <w:r w:rsidRPr="00647A2E">
        <w:lastRenderedPageBreak/>
        <w:t>The Effect on Patients’ Lives</w:t>
      </w:r>
      <w:bookmarkEnd w:id="70"/>
    </w:p>
    <w:p w14:paraId="4D1B16ED" w14:textId="77777777" w:rsidR="001B5A3A" w:rsidRPr="00E31AD0" w:rsidRDefault="001B5A3A" w:rsidP="00E31AD0">
      <w:pPr>
        <w:pStyle w:val="NCDBodyText"/>
        <w:suppressAutoHyphens/>
        <w:rPr>
          <w:rFonts w:cs="Arial"/>
          <w:color w:val="auto"/>
        </w:rPr>
      </w:pPr>
      <w:r w:rsidRPr="00E31AD0">
        <w:rPr>
          <w:rFonts w:cs="Arial"/>
          <w:color w:val="auto"/>
        </w:rPr>
        <w:t>Three specific examples help illuminate the effect that the lack of disability clinical care and competency training of medical professionals has on people with disabilities.</w:t>
      </w:r>
    </w:p>
    <w:p w14:paraId="234B533F" w14:textId="7FDC87F0" w:rsidR="001B5A3A" w:rsidRPr="00E31AD0" w:rsidRDefault="001B5A3A" w:rsidP="00E31AD0">
      <w:pPr>
        <w:pStyle w:val="NCDBodyText"/>
        <w:suppressAutoHyphens/>
        <w:rPr>
          <w:rFonts w:cs="Arial"/>
          <w:color w:val="auto"/>
        </w:rPr>
      </w:pPr>
      <w:r w:rsidRPr="00E31AD0">
        <w:rPr>
          <w:rFonts w:cs="Arial"/>
          <w:color w:val="auto"/>
        </w:rPr>
        <w:t xml:space="preserve">In the first example, provided by a faculty member of Harvard Medical School, a 72-year-old man with quadriplegia goes to a hospital for the placement of a kidney tube in January and again in June. He can speak loudly and clearly but is paralyzed from the neck down. He is lying on a gurney and has a surgical mask on to prevent infection. In January, of the three staff caring for him, none asked the patient what position was most comfortable, how best to position him, or what information he might like to know. The patient was rolled into a position for the procedure without giving permission and was not repositioned for hours after the procedure. He developed a large pressure ulcer and a fear of the health care system. In June, three different staff </w:t>
      </w:r>
      <w:r w:rsidR="003516D8">
        <w:rPr>
          <w:rFonts w:cs="Arial"/>
          <w:color w:val="auto"/>
        </w:rPr>
        <w:t xml:space="preserve">members </w:t>
      </w:r>
      <w:r w:rsidRPr="00E31AD0">
        <w:rPr>
          <w:rFonts w:cs="Arial"/>
          <w:color w:val="auto"/>
        </w:rPr>
        <w:t>happened to see the patient. This time, the staff spoke to him at eye level and asked what position was most comfortable, how best to position him, and what information he would like to know. The patient was relaxed and engaged and was positioned appropriately during and after the procedure. In the lead-up to the next appointment, the patient was left with anxiety and uncertainty as he wondered which team he would get on his next visit. Good clinical care should not be left to chance. Mandatory disability training for all health care trainees helps ensure patient-centered care for every patient during every visit.</w:t>
      </w:r>
      <w:r w:rsidRPr="00E31AD0">
        <w:rPr>
          <w:rStyle w:val="EndnoteReference"/>
          <w:rFonts w:cs="Arial"/>
          <w:color w:val="auto"/>
        </w:rPr>
        <w:endnoteReference w:id="15"/>
      </w:r>
    </w:p>
    <w:p w14:paraId="1BC566DD" w14:textId="77777777" w:rsidR="001B5A3A" w:rsidRPr="00E31AD0" w:rsidRDefault="001B5A3A" w:rsidP="00E31AD0">
      <w:pPr>
        <w:pStyle w:val="NCDBodyText"/>
        <w:suppressAutoHyphens/>
        <w:rPr>
          <w:rFonts w:cs="Arial"/>
          <w:color w:val="auto"/>
        </w:rPr>
      </w:pPr>
      <w:r w:rsidRPr="00E31AD0">
        <w:rPr>
          <w:rFonts w:cs="Arial"/>
          <w:color w:val="auto"/>
        </w:rPr>
        <w:t xml:space="preserve">NCD received the second example as a public comment by an individual with a family member with an intellectual and developmental disability (IDD). The family member with IDD was admitted to a clinic and was tazed three times while admitted. The family was not made aware that their family member with IDD had been </w:t>
      </w:r>
      <w:proofErr w:type="gramStart"/>
      <w:r w:rsidRPr="00E31AD0">
        <w:rPr>
          <w:rFonts w:cs="Arial"/>
          <w:color w:val="auto"/>
        </w:rPr>
        <w:t>tazed</w:t>
      </w:r>
      <w:proofErr w:type="gramEnd"/>
      <w:r w:rsidRPr="00E31AD0">
        <w:rPr>
          <w:rFonts w:cs="Arial"/>
          <w:color w:val="auto"/>
        </w:rPr>
        <w:t xml:space="preserve"> or that the admitted individual was given, they believe, </w:t>
      </w:r>
      <w:proofErr w:type="gramStart"/>
      <w:r w:rsidRPr="00E31AD0">
        <w:rPr>
          <w:rFonts w:cs="Arial"/>
          <w:color w:val="auto"/>
        </w:rPr>
        <w:t>the wrong</w:t>
      </w:r>
      <w:proofErr w:type="gramEnd"/>
      <w:r w:rsidRPr="00E31AD0">
        <w:rPr>
          <w:rFonts w:cs="Arial"/>
          <w:color w:val="auto"/>
        </w:rPr>
        <w:t xml:space="preserve"> medicine. Tragically, the disabled family member passed away while admitted at the clinic. It is the family’s belief that it was the improper prescription that killed him.</w:t>
      </w:r>
      <w:r w:rsidRPr="00E31AD0">
        <w:rPr>
          <w:rStyle w:val="EndnoteReference"/>
          <w:rFonts w:cs="Arial"/>
          <w:color w:val="auto"/>
        </w:rPr>
        <w:endnoteReference w:id="16"/>
      </w:r>
    </w:p>
    <w:p w14:paraId="40B5D33E" w14:textId="77777777" w:rsidR="00647A2E" w:rsidRDefault="00647A2E">
      <w:pPr>
        <w:spacing w:after="0" w:line="240" w:lineRule="auto"/>
        <w:rPr>
          <w:rFonts w:eastAsia="Calibri" w:cs="Arial"/>
          <w:kern w:val="0"/>
          <w:u w:color="000000"/>
          <w:bdr w:val="nil"/>
        </w:rPr>
      </w:pPr>
      <w:r>
        <w:rPr>
          <w:rFonts w:cs="Arial"/>
        </w:rPr>
        <w:br w:type="page"/>
      </w:r>
    </w:p>
    <w:p w14:paraId="7F07F0FE" w14:textId="6D932315" w:rsidR="001B5A3A" w:rsidRPr="00E31AD0" w:rsidRDefault="001B5A3A" w:rsidP="00E31AD0">
      <w:pPr>
        <w:pStyle w:val="NCDBodyText"/>
        <w:suppressAutoHyphens/>
        <w:rPr>
          <w:rFonts w:cs="Arial"/>
          <w:color w:val="auto"/>
        </w:rPr>
      </w:pPr>
      <w:r w:rsidRPr="00E31AD0">
        <w:rPr>
          <w:rFonts w:cs="Arial"/>
          <w:color w:val="auto"/>
        </w:rPr>
        <w:lastRenderedPageBreak/>
        <w:t>Finally, the last example comes from the lived experience of one of NCD’s own council members, who shares:</w:t>
      </w:r>
    </w:p>
    <w:p w14:paraId="6EB52FC4" w14:textId="7999C8C9" w:rsidR="001B5A3A" w:rsidRPr="00E31AD0" w:rsidRDefault="001B5A3A" w:rsidP="00E715CD">
      <w:pPr>
        <w:pStyle w:val="NCDExtract"/>
        <w:ind w:left="720" w:right="720"/>
      </w:pPr>
      <w:r w:rsidRPr="00E31AD0">
        <w:t xml:space="preserve">As a 52-year-old, quadriplegic, speech impaired woman with cerebral palsy, I’ve constantly faced healthcare providers with little knowledge/training about disabilities, in addition to patronizing, dismissive attitudes. I’ve encountered barriers to routine healthcare, like mammograms and colonoscopies at recommended ages, even with a family history of breast and colon cancer. My expertise (and my family’s), based on lived experience, was repeatedly dismissed when I developed non-Hodgkin lymphoma (tumor pressing against my esophagus) in 2013. I checked into a university hospital for five days of chemo (to be repeated every 21 days for six rounds) but didn’t leave for five months. I’d been belatedly diagnosed (after months of coughing) by a hospital urgent care doctor who not only treated me like a child but declined my request for an x-ray since I “probably” had allergies. Coughing made it hard to eat, so I’d lost 10 lbs. (from 95 lbs.) and was aspirating while eating when finally admitted. Speech therapists insisted on </w:t>
      </w:r>
      <w:proofErr w:type="gramStart"/>
      <w:r w:rsidRPr="00E31AD0">
        <w:t>an</w:t>
      </w:r>
      <w:proofErr w:type="gramEnd"/>
      <w:r w:rsidRPr="00E31AD0">
        <w:t xml:space="preserve"> Nasogastric Intubation tube, even though I said it would make me cough more, which it did. (I needed a stomach tube, which I soon got anyway.) My chemo floor didn’t have orderlies to get me out of bed every day (as I’d always done), so I developed my first ever pressure ulcer in the first 10 days from all the extra coughing, sitting up at a 90-degree angle to try to alleviate that, and not getting out of bed into my wheelchair. I wasn’t told I had a pressure ulcer until weeks later, and it progressed to stage four, so my final round of chemo had to be canceled because I was more at risk of dying from the ulcer than the cancer. </w:t>
      </w:r>
      <w:r w:rsidR="00344CD6" w:rsidRPr="00344CD6">
        <w:t xml:space="preserve">I was overfed through the tube and that made me cough </w:t>
      </w:r>
      <w:r w:rsidRPr="00E31AD0">
        <w:t xml:space="preserve">more (reflux) even after the tumor was reduced, and caused chronic, explosive diarrhea, which risked further wound complications. Extra hospital days meant lost lifetime Medicare hours, loss of promised weeks of rehab, and my family had to fight to keep me in the hospital until they felt able to deal with the wound at home. (They lived nearby, and visited every day, but the hospital wanted to discharge me to a </w:t>
      </w:r>
      <w:r w:rsidRPr="00E31AD0">
        <w:lastRenderedPageBreak/>
        <w:t>facility 45 minutes away that was also inadequate for my needs.) We struggled to get them to hear and respond to our warnings/suggestions rooted in four decades of experience.</w:t>
      </w:r>
      <w:r w:rsidRPr="00E31AD0">
        <w:rPr>
          <w:rStyle w:val="EndnoteReference"/>
        </w:rPr>
        <w:endnoteReference w:id="17"/>
      </w:r>
    </w:p>
    <w:p w14:paraId="37F656D5" w14:textId="77777777" w:rsidR="001B5A3A" w:rsidRPr="00E31AD0" w:rsidRDefault="001B5A3A" w:rsidP="00E31AD0">
      <w:pPr>
        <w:pStyle w:val="NCDBodyText"/>
        <w:suppressAutoHyphens/>
        <w:rPr>
          <w:rFonts w:cs="Arial"/>
          <w:color w:val="auto"/>
        </w:rPr>
      </w:pPr>
      <w:r w:rsidRPr="00E31AD0">
        <w:rPr>
          <w:rFonts w:cs="Arial"/>
          <w:color w:val="auto"/>
        </w:rPr>
        <w:t>These examples speak for themselves.</w:t>
      </w:r>
    </w:p>
    <w:p w14:paraId="006E0120" w14:textId="77777777" w:rsidR="001B5A3A" w:rsidRPr="005B0269" w:rsidRDefault="001B5A3A" w:rsidP="005B0269">
      <w:pPr>
        <w:pStyle w:val="Heading2"/>
      </w:pPr>
      <w:bookmarkStart w:id="71" w:name="_Toc242711227"/>
      <w:r w:rsidRPr="005B0269">
        <w:t>Fundamental Barriers</w:t>
      </w:r>
      <w:bookmarkEnd w:id="71"/>
    </w:p>
    <w:p w14:paraId="172DD0A4" w14:textId="77777777" w:rsidR="001B5A3A" w:rsidRPr="00E31AD0" w:rsidRDefault="001B5A3A" w:rsidP="00E31AD0">
      <w:pPr>
        <w:pStyle w:val="NCDBodyText"/>
        <w:suppressAutoHyphens/>
        <w:rPr>
          <w:rFonts w:cs="Arial"/>
          <w:color w:val="auto"/>
        </w:rPr>
      </w:pPr>
      <w:r w:rsidRPr="00E31AD0">
        <w:rPr>
          <w:rFonts w:cs="Arial"/>
          <w:color w:val="auto"/>
        </w:rPr>
        <w:t>Several fundamental barriers hinder the provision of essential disability clinical care and competency training for medical professionals; among them is the shortage of faculty with training and experience on the topic. It is this shortage of equipped trainers that can and does result in a detrimental circle of untrained students who in turn become instructors themselves who are likewise incapable of providing the training that they themselves lacked.</w:t>
      </w:r>
      <w:r w:rsidRPr="00E31AD0">
        <w:rPr>
          <w:rStyle w:val="EndnoteReference"/>
          <w:rFonts w:cs="Arial"/>
          <w:color w:val="auto"/>
        </w:rPr>
        <w:endnoteReference w:id="18"/>
      </w:r>
      <w:r w:rsidRPr="00E31AD0">
        <w:rPr>
          <w:rFonts w:cs="Arial"/>
          <w:color w:val="auto"/>
        </w:rPr>
        <w:t xml:space="preserve"> This cited barrier is self-perpetuating absent a change in curricula.</w:t>
      </w:r>
    </w:p>
    <w:p w14:paraId="53A9D6E8" w14:textId="77777777" w:rsidR="001B5A3A" w:rsidRPr="00E31AD0" w:rsidRDefault="001B5A3A" w:rsidP="00E31AD0">
      <w:pPr>
        <w:pStyle w:val="NCDBodyText"/>
        <w:suppressAutoHyphens/>
        <w:rPr>
          <w:rFonts w:cs="Arial"/>
          <w:color w:val="auto"/>
        </w:rPr>
      </w:pPr>
      <w:r w:rsidRPr="00E31AD0">
        <w:rPr>
          <w:rFonts w:cs="Arial"/>
          <w:color w:val="auto"/>
        </w:rPr>
        <w:t xml:space="preserve">Another barrier often cited is the time constraints in health care programs’ existing intensive curricula. As a result, any disability clinical care and competency training that is provided is either brief and lacking in depth and hands-on training or is in the form of optional electives rather than comprehensive competency development. The question of time constraint, however, is simply a matter of proper prioritization. The more comprehensive programs with built-in disability clinical care and competency training that do exist are often a result of individual faculty members who choose to champion and prioritize such training within their institution. However, these “one-offs” are not even necessarily sustainable because the programs inclusive of disability competency training may not persist after these </w:t>
      </w:r>
      <w:proofErr w:type="gramStart"/>
      <w:r w:rsidRPr="00E31AD0">
        <w:rPr>
          <w:rFonts w:cs="Arial"/>
          <w:color w:val="auto"/>
        </w:rPr>
        <w:t>particular faculty</w:t>
      </w:r>
      <w:proofErr w:type="gramEnd"/>
      <w:r w:rsidRPr="00E31AD0">
        <w:rPr>
          <w:rFonts w:cs="Arial"/>
          <w:color w:val="auto"/>
        </w:rPr>
        <w:t xml:space="preserve"> members retire or move on.</w:t>
      </w:r>
    </w:p>
    <w:p w14:paraId="35A65185" w14:textId="77777777" w:rsidR="001B5A3A" w:rsidRPr="00E31AD0" w:rsidRDefault="001B5A3A" w:rsidP="00E31AD0">
      <w:pPr>
        <w:pStyle w:val="NCDBodyText"/>
        <w:suppressAutoHyphens/>
        <w:rPr>
          <w:rFonts w:cs="Arial"/>
          <w:color w:val="auto"/>
        </w:rPr>
      </w:pPr>
      <w:r w:rsidRPr="00E31AD0">
        <w:rPr>
          <w:rFonts w:cs="Arial"/>
          <w:color w:val="auto"/>
        </w:rPr>
        <w:t>According to responses received to NCD’s Request for Information on the topic, limited faculty and student buy-in is a central challenge for medical schools and other medical professional schools in adopting disability clinical care and competency training into their curricula.</w:t>
      </w:r>
      <w:r w:rsidRPr="00E31AD0">
        <w:rPr>
          <w:rStyle w:val="EndnoteReference"/>
          <w:rFonts w:cs="Arial"/>
          <w:color w:val="auto"/>
        </w:rPr>
        <w:endnoteReference w:id="19"/>
      </w:r>
      <w:r w:rsidRPr="00E31AD0">
        <w:rPr>
          <w:rFonts w:cs="Arial"/>
          <w:color w:val="auto"/>
        </w:rPr>
        <w:t xml:space="preserve"> In connection with perceived time constraints with existing curricula noted previously, instructors spend their instructional time training on the information known to be on state licensing exams. It therefore stands to reason that there would be more faculty and student buy-</w:t>
      </w:r>
      <w:proofErr w:type="gramStart"/>
      <w:r w:rsidRPr="00E31AD0">
        <w:rPr>
          <w:rFonts w:cs="Arial"/>
          <w:color w:val="auto"/>
        </w:rPr>
        <w:t>in</w:t>
      </w:r>
      <w:proofErr w:type="gramEnd"/>
      <w:r w:rsidRPr="00E31AD0">
        <w:rPr>
          <w:rFonts w:cs="Arial"/>
          <w:color w:val="auto"/>
        </w:rPr>
        <w:t xml:space="preserve"> of disability clinical care and competency training if more of these types of questions were to appear across more medical professional </w:t>
      </w:r>
      <w:r w:rsidRPr="00E31AD0">
        <w:rPr>
          <w:rFonts w:cs="Arial"/>
          <w:color w:val="auto"/>
        </w:rPr>
        <w:lastRenderedPageBreak/>
        <w:t>state licensing exams. It also stands to reason that more educational and training programs would presumably provide the necessary education and training as a means of “teaching for the test”—if not explicitly to improve treatment of people with disabilities, then for the benefit of helping their students pass the test.</w:t>
      </w:r>
    </w:p>
    <w:p w14:paraId="48922532" w14:textId="77777777" w:rsidR="001B5A3A" w:rsidRPr="00E31AD0" w:rsidRDefault="001B5A3A" w:rsidP="00E31AD0">
      <w:pPr>
        <w:pStyle w:val="NCDBodyText"/>
        <w:suppressAutoHyphens/>
        <w:rPr>
          <w:rFonts w:cs="Arial"/>
          <w:color w:val="auto"/>
        </w:rPr>
      </w:pPr>
      <w:r w:rsidRPr="00E31AD0">
        <w:rPr>
          <w:rFonts w:cs="Arial"/>
          <w:color w:val="auto"/>
        </w:rPr>
        <w:t>Insufficient investment in accessible clinical infrastructure also acts as a barrier. Many training environments currently lack essential accessibility features such as height-adjustable examination tables, wheelchair-accessible weight scales, mobile diagnostic equipment, and examination rooms designed to accommodate wheelchair users, although new regulations from the US Department of Health and Human Services (HHS) and the US Department of Justice require adoption of accessible medical equipment.</w:t>
      </w:r>
      <w:r w:rsidRPr="00E31AD0">
        <w:rPr>
          <w:rStyle w:val="EndnoteReference"/>
          <w:rFonts w:cs="Arial"/>
          <w:color w:val="auto"/>
        </w:rPr>
        <w:endnoteReference w:id="20"/>
      </w:r>
      <w:r w:rsidRPr="00E31AD0">
        <w:rPr>
          <w:rFonts w:cs="Arial"/>
          <w:color w:val="auto"/>
        </w:rPr>
        <w:t xml:space="preserve"> Combined with barriers in the built environment and inaccessible medical equipment, often it is not until a physician encounters a patient with a disability and faces his or her own lack of confidence in properly treating that patient, including lacking the equipment to do so, that the gap in training and infrastructure is clearly recognized.</w:t>
      </w:r>
    </w:p>
    <w:p w14:paraId="29A9CCC0" w14:textId="77777777" w:rsidR="001B5A3A" w:rsidRPr="00E31AD0" w:rsidRDefault="001B5A3A" w:rsidP="00E31AD0">
      <w:pPr>
        <w:pStyle w:val="NCDBodyText"/>
        <w:suppressAutoHyphens/>
        <w:rPr>
          <w:rFonts w:cs="Arial"/>
          <w:color w:val="auto"/>
        </w:rPr>
      </w:pPr>
      <w:r w:rsidRPr="00E31AD0">
        <w:rPr>
          <w:rFonts w:cs="Arial"/>
          <w:color w:val="auto"/>
        </w:rPr>
        <w:t xml:space="preserve">Finally, limited guidance and expectations from accreditation bodies, as well as the absence of explicit guidance by regulatory bodies, also hinder the nationwide implementation of necessary disability clinical care and competency training. Absent a clear requirement for disability-specific content from health professional schools, training programs, and accreditation bodies, essential </w:t>
      </w:r>
      <w:proofErr w:type="gramStart"/>
      <w:r w:rsidRPr="00E31AD0">
        <w:rPr>
          <w:rFonts w:cs="Arial"/>
          <w:color w:val="auto"/>
        </w:rPr>
        <w:t>disability clinical</w:t>
      </w:r>
      <w:proofErr w:type="gramEnd"/>
      <w:r w:rsidRPr="00E31AD0">
        <w:rPr>
          <w:rFonts w:cs="Arial"/>
          <w:color w:val="auto"/>
        </w:rPr>
        <w:t xml:space="preserve"> care and competency training of medical professionals typically does not happen.</w:t>
      </w:r>
    </w:p>
    <w:p w14:paraId="7220B691" w14:textId="77777777" w:rsidR="001B5A3A" w:rsidRPr="00E31AD0" w:rsidRDefault="001B5A3A" w:rsidP="00096BD3">
      <w:pPr>
        <w:pStyle w:val="Heading2"/>
      </w:pPr>
      <w:bookmarkStart w:id="72" w:name="_Toc242711228"/>
      <w:r w:rsidRPr="00E31AD0">
        <w:t>Applicable Law, Standards, and Examinations</w:t>
      </w:r>
      <w:bookmarkEnd w:id="72"/>
    </w:p>
    <w:p w14:paraId="6C08CA31" w14:textId="77777777" w:rsidR="001B5A3A" w:rsidRPr="00096BD3" w:rsidRDefault="001B5A3A" w:rsidP="00096BD3">
      <w:pPr>
        <w:pStyle w:val="Heading3"/>
        <w:rPr>
          <w:i/>
          <w:iCs/>
        </w:rPr>
      </w:pPr>
      <w:bookmarkStart w:id="73" w:name="_Toc242711229"/>
      <w:r w:rsidRPr="00096BD3">
        <w:rPr>
          <w:i/>
          <w:iCs/>
        </w:rPr>
        <w:t>US Department of Health and Human Services</w:t>
      </w:r>
      <w:bookmarkEnd w:id="73"/>
    </w:p>
    <w:p w14:paraId="28419AD6" w14:textId="77777777" w:rsidR="001B5A3A" w:rsidRPr="00E31AD0" w:rsidRDefault="001B5A3A" w:rsidP="00E31AD0">
      <w:pPr>
        <w:pStyle w:val="NCDBodyText"/>
        <w:suppressAutoHyphens/>
        <w:rPr>
          <w:rFonts w:cs="Arial"/>
          <w:color w:val="auto"/>
        </w:rPr>
      </w:pPr>
      <w:r w:rsidRPr="00E31AD0">
        <w:rPr>
          <w:rFonts w:cs="Arial"/>
          <w:color w:val="auto"/>
        </w:rPr>
        <w:t>Section 5307 of the Patient Protection and Affordable Care Act provides the legislative authority for the Secretary of the HHS to fund the development of and to disseminate model curricula for cultural competency, prevention, public health proficiency, reducing health disparities, and aptitude for working with individuals with disabilities training for use in health professions schools and continuing education programs.</w:t>
      </w:r>
      <w:r w:rsidRPr="00E31AD0">
        <w:rPr>
          <w:rStyle w:val="EndnoteReference"/>
          <w:rFonts w:cs="Arial"/>
          <w:color w:val="auto"/>
        </w:rPr>
        <w:endnoteReference w:id="21"/>
      </w:r>
      <w:r w:rsidRPr="00E31AD0">
        <w:rPr>
          <w:rFonts w:cs="Arial"/>
          <w:color w:val="auto"/>
        </w:rPr>
        <w:t xml:space="preserve"> Section 5307 does not, however, require adoption and implementation of such curricula.</w:t>
      </w:r>
    </w:p>
    <w:p w14:paraId="77DDBFE8" w14:textId="77777777" w:rsidR="001B5A3A" w:rsidRPr="00E31AD0" w:rsidRDefault="001B5A3A" w:rsidP="00E31AD0">
      <w:pPr>
        <w:pStyle w:val="NCDBodyText"/>
        <w:suppressAutoHyphens/>
        <w:rPr>
          <w:rFonts w:cs="Arial"/>
          <w:color w:val="auto"/>
        </w:rPr>
      </w:pPr>
      <w:r w:rsidRPr="00E31AD0">
        <w:rPr>
          <w:rFonts w:cs="Arial"/>
          <w:color w:val="auto"/>
        </w:rPr>
        <w:lastRenderedPageBreak/>
        <w:t xml:space="preserve">Separately, the HHS Office for Civil Rights published a final rule, </w:t>
      </w:r>
      <w:r w:rsidRPr="00E31AD0">
        <w:rPr>
          <w:rFonts w:cs="Arial"/>
          <w:i/>
          <w:iCs/>
          <w:color w:val="auto"/>
        </w:rPr>
        <w:t xml:space="preserve">Nondiscrimination </w:t>
      </w:r>
      <w:proofErr w:type="gramStart"/>
      <w:r w:rsidRPr="00E31AD0">
        <w:rPr>
          <w:rFonts w:cs="Arial"/>
          <w:i/>
          <w:iCs/>
          <w:color w:val="auto"/>
        </w:rPr>
        <w:t>on the Basis of</w:t>
      </w:r>
      <w:proofErr w:type="gramEnd"/>
      <w:r w:rsidRPr="00E31AD0">
        <w:rPr>
          <w:rFonts w:cs="Arial"/>
          <w:i/>
          <w:iCs/>
          <w:color w:val="auto"/>
        </w:rPr>
        <w:t xml:space="preserve"> Disability in Programs or Activities Receiving Federal Financial Assistance</w:t>
      </w:r>
      <w:r w:rsidRPr="00E31AD0">
        <w:rPr>
          <w:rFonts w:cs="Arial"/>
          <w:color w:val="auto"/>
        </w:rPr>
        <w:t xml:space="preserve">, which became effective July 8, 2024. It updates, clarifies, and strengthens HHS’ </w:t>
      </w:r>
      <w:proofErr w:type="gramStart"/>
      <w:r w:rsidRPr="00E31AD0">
        <w:rPr>
          <w:rFonts w:cs="Arial"/>
          <w:color w:val="auto"/>
        </w:rPr>
        <w:t>implementing</w:t>
      </w:r>
      <w:proofErr w:type="gramEnd"/>
      <w:r w:rsidRPr="00E31AD0">
        <w:rPr>
          <w:rFonts w:cs="Arial"/>
          <w:color w:val="auto"/>
        </w:rPr>
        <w:t xml:space="preserve"> regulation for Section 504 of the Rehabilitation Act of 1973.</w:t>
      </w:r>
      <w:r w:rsidRPr="00E31AD0">
        <w:rPr>
          <w:rStyle w:val="EndnoteReference"/>
          <w:rFonts w:cs="Arial"/>
          <w:color w:val="auto"/>
        </w:rPr>
        <w:endnoteReference w:id="22"/>
      </w:r>
      <w:r w:rsidRPr="00E31AD0">
        <w:rPr>
          <w:rFonts w:cs="Arial"/>
          <w:color w:val="auto"/>
        </w:rPr>
        <w:t xml:space="preserve"> Provided this rule is implemented and enforced, these revisions should help to improve the quality of health care that people with disabilities receive. According to the revised rule, within the context of health care provided to people with disabilities, recipients of federal financial assistance cannot deny or limit clinically appropriate treatment to a qualified individual with a disability when the denial is based on bias or stereotypes, a belief that the individual will be a burden on others, or a belief that the life of an individual with a disability has a lesser value than the life of a person without a disability. (This rule continues to apply during the adoption of different standards for the allocation of scarce resources during emergencies, commonly referred to as “crisis standards of care.”</w:t>
      </w:r>
      <w:r w:rsidRPr="00E31AD0">
        <w:rPr>
          <w:rStyle w:val="EndnoteReference"/>
          <w:rFonts w:cs="Arial"/>
          <w:color w:val="auto"/>
        </w:rPr>
        <w:endnoteReference w:id="23"/>
      </w:r>
      <w:r w:rsidRPr="00E31AD0">
        <w:rPr>
          <w:rFonts w:cs="Arial"/>
          <w:color w:val="auto"/>
        </w:rPr>
        <w:t xml:space="preserve"> </w:t>
      </w:r>
      <w:r w:rsidRPr="00E31AD0">
        <w:rPr>
          <w:rStyle w:val="EndnoteReference"/>
          <w:rFonts w:cs="Arial"/>
          <w:color w:val="auto"/>
        </w:rPr>
        <w:endnoteReference w:id="24"/>
      </w:r>
      <w:r w:rsidRPr="00E31AD0">
        <w:rPr>
          <w:rFonts w:cs="Arial"/>
          <w:color w:val="auto"/>
        </w:rPr>
        <w:t>). Recipients are prohibited from using any measure that discounts the value of life extension based on disability to deny or afford an unequal opportunity to qualified individuals with disabilities</w:t>
      </w:r>
      <w:r w:rsidRPr="00E31AD0">
        <w:rPr>
          <w:rStyle w:val="EndnoteReference"/>
          <w:rFonts w:cs="Arial"/>
          <w:color w:val="auto"/>
        </w:rPr>
        <w:endnoteReference w:id="25"/>
      </w:r>
      <w:r w:rsidRPr="00E31AD0">
        <w:rPr>
          <w:rFonts w:cs="Arial"/>
          <w:color w:val="auto"/>
        </w:rPr>
        <w:t>; recipients are prohibited from discriminating against people with disabilities through the use of inaccessible medical and diagnostic equipment</w:t>
      </w:r>
      <w:r w:rsidRPr="00E31AD0">
        <w:rPr>
          <w:rStyle w:val="EndnoteReference"/>
          <w:rFonts w:cs="Arial"/>
          <w:color w:val="auto"/>
        </w:rPr>
        <w:endnoteReference w:id="26"/>
      </w:r>
      <w:r w:rsidRPr="00E31AD0">
        <w:rPr>
          <w:rFonts w:cs="Arial"/>
          <w:color w:val="auto"/>
        </w:rPr>
        <w:t>; and recipients must take appropriate steps to ensure that communications with individuals with speech, hearing, and vision disabilities are as effective as communications with others.</w:t>
      </w:r>
      <w:r w:rsidRPr="00E31AD0">
        <w:rPr>
          <w:rStyle w:val="EndnoteReference"/>
          <w:rFonts w:cs="Arial"/>
          <w:color w:val="auto"/>
        </w:rPr>
        <w:endnoteReference w:id="27"/>
      </w:r>
    </w:p>
    <w:p w14:paraId="11182204" w14:textId="3E0D60CA" w:rsidR="001B5A3A" w:rsidRPr="00E31AD0" w:rsidRDefault="00AE6A72" w:rsidP="00E31AD0">
      <w:pPr>
        <w:pStyle w:val="NCDBodyText"/>
        <w:suppressAutoHyphens/>
        <w:rPr>
          <w:rFonts w:cs="Arial"/>
          <w:b/>
          <w:bCs/>
          <w:color w:val="auto"/>
        </w:rPr>
      </w:pPr>
      <w:r w:rsidRPr="00AE6A72">
        <w:rPr>
          <w:rFonts w:cs="Arial"/>
          <w:color w:val="auto"/>
        </w:rPr>
        <w:t xml:space="preserve">Although the revised rule does not explicitly state that medical schools and residency programs receiving federal financial </w:t>
      </w:r>
      <w:r w:rsidR="001B5A3A" w:rsidRPr="00E31AD0">
        <w:rPr>
          <w:rFonts w:cs="Arial"/>
          <w:color w:val="auto"/>
        </w:rPr>
        <w:t>assistance must proactively incorporate disability clinical care and competency into their training programs, it is NCD’s position that Section 504, along with the ADA, in their nondiscrimination provisions, should be read as requiring medical professional teaching programs to include disability clinical care and competency training.</w:t>
      </w:r>
      <w:r w:rsidR="001B5A3A" w:rsidRPr="00E31AD0">
        <w:rPr>
          <w:rStyle w:val="EndnoteReference"/>
          <w:rFonts w:cs="Arial"/>
          <w:color w:val="auto"/>
        </w:rPr>
        <w:endnoteReference w:id="28"/>
      </w:r>
      <w:r w:rsidR="001B5A3A" w:rsidRPr="00E31AD0">
        <w:rPr>
          <w:rFonts w:cs="Arial"/>
          <w:color w:val="auto"/>
        </w:rPr>
        <w:t xml:space="preserve"> Hence, </w:t>
      </w:r>
      <w:r w:rsidR="001B5A3A" w:rsidRPr="00E31AD0">
        <w:rPr>
          <w:rFonts w:cs="Arial"/>
          <w:b/>
          <w:bCs/>
          <w:color w:val="auto"/>
        </w:rPr>
        <w:t>NCD recommends that HHS clarify Section 504 to make disability clinical care and competency training in medical care professional training explicitly required.</w:t>
      </w:r>
      <w:r w:rsidR="001B5A3A" w:rsidRPr="00E31AD0">
        <w:rPr>
          <w:rFonts w:cs="Arial"/>
          <w:color w:val="auto"/>
        </w:rPr>
        <w:t xml:space="preserve"> </w:t>
      </w:r>
      <w:r w:rsidR="001B5A3A" w:rsidRPr="00E31AD0">
        <w:rPr>
          <w:rFonts w:cs="Arial"/>
          <w:b/>
          <w:bCs/>
          <w:color w:val="auto"/>
        </w:rPr>
        <w:t>NCD further recommends that HHS</w:t>
      </w:r>
      <w:r w:rsidR="00506EF4">
        <w:rPr>
          <w:rFonts w:cs="Arial"/>
          <w:b/>
          <w:bCs/>
          <w:color w:val="auto"/>
        </w:rPr>
        <w:t xml:space="preserve"> </w:t>
      </w:r>
      <w:r w:rsidR="00506EF4" w:rsidRPr="00506EF4">
        <w:rPr>
          <w:rFonts w:cs="Arial"/>
          <w:b/>
          <w:bCs/>
          <w:color w:val="auto"/>
        </w:rPr>
        <w:t>also establish guidance to that end.</w:t>
      </w:r>
    </w:p>
    <w:p w14:paraId="65DDBB4F" w14:textId="5C3162B8" w:rsidR="001B5A3A" w:rsidRPr="00096BD3" w:rsidRDefault="001B5A3A" w:rsidP="00096BD3">
      <w:pPr>
        <w:pStyle w:val="Heading3"/>
        <w:rPr>
          <w:i/>
          <w:iCs/>
        </w:rPr>
      </w:pPr>
      <w:bookmarkStart w:id="74" w:name="_Toc242711230"/>
      <w:r w:rsidRPr="00096BD3">
        <w:rPr>
          <w:i/>
          <w:iCs/>
        </w:rPr>
        <w:lastRenderedPageBreak/>
        <w:t>State Laws</w:t>
      </w:r>
      <w:bookmarkEnd w:id="74"/>
    </w:p>
    <w:p w14:paraId="0667A6F6" w14:textId="12A0250A" w:rsidR="001B5A3A" w:rsidRPr="00E31AD0" w:rsidRDefault="001B5A3A" w:rsidP="00E31AD0">
      <w:pPr>
        <w:pStyle w:val="NCDBodyText"/>
        <w:suppressAutoHyphens/>
        <w:rPr>
          <w:rFonts w:cs="Arial"/>
          <w:b/>
          <w:bCs/>
          <w:color w:val="auto"/>
        </w:rPr>
      </w:pPr>
      <w:r w:rsidRPr="00E31AD0">
        <w:rPr>
          <w:rFonts w:cs="Arial"/>
          <w:color w:val="auto"/>
        </w:rPr>
        <w:t xml:space="preserve">State medical licensing boards establish requirements for physician licensure and may require continuing medical education or other professional development as a condition of maintaining licensure. However, they generally do not establish detailed disability-related clinical care or competency requirements for medical school curricula or residency training programs; these requirements are primarily established through medical education accreditation standards (as set by organizations such as the Liaison Committee on Medical Education [LCME] and the Accreditation Council for Graduate Medical Education [ACGME]) and individual educational institutions. </w:t>
      </w:r>
      <w:r w:rsidR="00547F36" w:rsidRPr="00547F36">
        <w:rPr>
          <w:rFonts w:cs="Arial"/>
          <w:color w:val="auto"/>
        </w:rPr>
        <w:t xml:space="preserve">It is thus worth noting that in Massachusetts, the Massachusetts Department of Public Health is now legally required to establish a voluntary certification program for </w:t>
      </w:r>
      <w:r w:rsidRPr="00E31AD0">
        <w:rPr>
          <w:rFonts w:cs="Arial"/>
          <w:color w:val="auto"/>
        </w:rPr>
        <w:t>educational institutions that offer specialized training on caring for people with IDDs, including autism.</w:t>
      </w:r>
      <w:r w:rsidRPr="00E31AD0">
        <w:rPr>
          <w:rStyle w:val="EndnoteReference"/>
          <w:rFonts w:cs="Arial"/>
          <w:color w:val="auto"/>
        </w:rPr>
        <w:endnoteReference w:id="29"/>
      </w:r>
      <w:r w:rsidRPr="00E31AD0">
        <w:rPr>
          <w:rFonts w:cs="Arial"/>
          <w:color w:val="auto"/>
        </w:rPr>
        <w:t xml:space="preserve"> Although this singular state law is a step in the right direction, it is nonetheless voluntary for educational institutions. </w:t>
      </w:r>
      <w:r w:rsidRPr="00E31AD0">
        <w:rPr>
          <w:rFonts w:cs="Arial"/>
          <w:b/>
          <w:bCs/>
          <w:color w:val="auto"/>
        </w:rPr>
        <w:t>NCD recommends that states pass laws mandating disability clinical care and competency training of medical students and professional trainees.</w:t>
      </w:r>
    </w:p>
    <w:p w14:paraId="517CD600" w14:textId="77777777" w:rsidR="001B5A3A" w:rsidRPr="00096BD3" w:rsidRDefault="001B5A3A" w:rsidP="00096BD3">
      <w:pPr>
        <w:pStyle w:val="Heading3"/>
        <w:rPr>
          <w:i/>
          <w:iCs/>
        </w:rPr>
      </w:pPr>
      <w:bookmarkStart w:id="75" w:name="_Toc242711231"/>
      <w:r w:rsidRPr="00096BD3">
        <w:rPr>
          <w:i/>
          <w:iCs/>
        </w:rPr>
        <w:t>Nongovernment Organizations</w:t>
      </w:r>
      <w:bookmarkEnd w:id="75"/>
    </w:p>
    <w:p w14:paraId="3D2AA567" w14:textId="77777777" w:rsidR="001B5A3A" w:rsidRPr="00E31AD0" w:rsidRDefault="001B5A3A" w:rsidP="00E31AD0">
      <w:pPr>
        <w:pStyle w:val="NCDBodyText"/>
        <w:suppressAutoHyphens/>
        <w:rPr>
          <w:rFonts w:cs="Arial"/>
          <w:color w:val="auto"/>
        </w:rPr>
      </w:pPr>
      <w:r w:rsidRPr="00E31AD0">
        <w:rPr>
          <w:rFonts w:cs="Arial"/>
          <w:color w:val="auto"/>
        </w:rPr>
        <w:t xml:space="preserve">In July 2023, NCD held a panel discussion at its quarterly public meeting, where it engaged in discussion </w:t>
      </w:r>
      <w:proofErr w:type="gramStart"/>
      <w:r w:rsidRPr="00E31AD0">
        <w:rPr>
          <w:rFonts w:cs="Arial"/>
          <w:color w:val="auto"/>
        </w:rPr>
        <w:t>nongovernment</w:t>
      </w:r>
      <w:proofErr w:type="gramEnd"/>
      <w:r w:rsidRPr="00E31AD0">
        <w:rPr>
          <w:rFonts w:cs="Arial"/>
          <w:color w:val="auto"/>
        </w:rPr>
        <w:t xml:space="preserve"> organizations with authority in the space of disability clinical care and competency training (or at least some influence). The leaders of these organizations left with a better understanding of the need, and NCD has continued to follow up. The following represents the </w:t>
      </w:r>
      <w:proofErr w:type="gramStart"/>
      <w:r w:rsidRPr="00E31AD0">
        <w:rPr>
          <w:rFonts w:cs="Arial"/>
          <w:color w:val="auto"/>
        </w:rPr>
        <w:t>current status</w:t>
      </w:r>
      <w:proofErr w:type="gramEnd"/>
      <w:r w:rsidRPr="00E31AD0">
        <w:rPr>
          <w:rFonts w:cs="Arial"/>
          <w:color w:val="auto"/>
        </w:rPr>
        <w:t xml:space="preserve"> of relevant organizations, with continued recommendations from NCD.</w:t>
      </w:r>
    </w:p>
    <w:p w14:paraId="28182D5F" w14:textId="77777777" w:rsidR="001B5A3A" w:rsidRPr="00096BD3" w:rsidRDefault="001B5A3A" w:rsidP="00096BD3">
      <w:pPr>
        <w:pStyle w:val="Heading4"/>
      </w:pPr>
      <w:r w:rsidRPr="00096BD3">
        <w:t>The Liaison Committee on Medical Education</w:t>
      </w:r>
    </w:p>
    <w:p w14:paraId="42915DE5" w14:textId="77777777" w:rsidR="001B5A3A" w:rsidRPr="00E31AD0" w:rsidRDefault="001B5A3A" w:rsidP="00E31AD0">
      <w:pPr>
        <w:pStyle w:val="NCDBodyText"/>
        <w:suppressAutoHyphens/>
        <w:rPr>
          <w:rFonts w:cs="Arial"/>
          <w:color w:val="auto"/>
        </w:rPr>
      </w:pPr>
      <w:r w:rsidRPr="00E31AD0">
        <w:rPr>
          <w:rFonts w:cs="Arial"/>
          <w:color w:val="auto"/>
        </w:rPr>
        <w:t xml:space="preserve">The LCME serves as the official accrediting body for Medical Doctor degree granting medical education programs in the United States and Canada. The organization is jointly sponsored by the Association of American Medical Colleges (AAMC) and the American Medical Association (AMA). It consists of 21 voting members: 17 professional members who are medical educators and/or practicing physicians, 2 public members, </w:t>
      </w:r>
      <w:r w:rsidRPr="00E31AD0">
        <w:rPr>
          <w:rFonts w:cs="Arial"/>
          <w:color w:val="auto"/>
        </w:rPr>
        <w:lastRenderedPageBreak/>
        <w:t>and 2 medical students.</w:t>
      </w:r>
      <w:r w:rsidRPr="00E31AD0">
        <w:rPr>
          <w:rStyle w:val="EndnoteReference"/>
          <w:rFonts w:cs="Arial"/>
          <w:color w:val="auto"/>
        </w:rPr>
        <w:endnoteReference w:id="30"/>
      </w:r>
      <w:r w:rsidRPr="00E31AD0">
        <w:rPr>
          <w:rFonts w:cs="Arial"/>
          <w:color w:val="auto"/>
        </w:rPr>
        <w:t xml:space="preserve"> To attain and maintain accreditation, a program must meet the accreditation standards of the LCME.</w:t>
      </w:r>
      <w:r w:rsidRPr="00E31AD0">
        <w:rPr>
          <w:rStyle w:val="EndnoteReference"/>
          <w:rFonts w:cs="Arial"/>
          <w:color w:val="auto"/>
        </w:rPr>
        <w:endnoteReference w:id="31"/>
      </w:r>
      <w:r w:rsidRPr="00E31AD0">
        <w:rPr>
          <w:rFonts w:cs="Arial"/>
          <w:color w:val="auto"/>
        </w:rPr>
        <w:t xml:space="preserve"> LCME accreditation allows medical schools and their students to qualify for certain federal funding opportunities, such as Title VII programs administered by the US Public Health Service, and permits students to sit for the United States Medical Licensing Examination (USMLE). In addition, most state licensing boards require graduation from an LCME-accredited program for physician licensure. Graduates of these accredited schools are also eligible to enter residency programs approved by the ACGME.</w:t>
      </w:r>
      <w:r w:rsidRPr="00E31AD0">
        <w:rPr>
          <w:rStyle w:val="EndnoteReference"/>
          <w:rFonts w:cs="Arial"/>
          <w:color w:val="auto"/>
        </w:rPr>
        <w:endnoteReference w:id="32"/>
      </w:r>
    </w:p>
    <w:p w14:paraId="5DCBDF80" w14:textId="77777777" w:rsidR="001B5A3A" w:rsidRPr="00E31AD0" w:rsidRDefault="001B5A3A" w:rsidP="00E31AD0">
      <w:pPr>
        <w:pStyle w:val="NCDBodyText"/>
        <w:suppressAutoHyphens/>
        <w:rPr>
          <w:rFonts w:cs="Arial"/>
          <w:b/>
          <w:bCs/>
          <w:color w:val="auto"/>
        </w:rPr>
      </w:pPr>
      <w:r w:rsidRPr="00E31AD0">
        <w:rPr>
          <w:rFonts w:cs="Arial"/>
          <w:color w:val="auto"/>
        </w:rPr>
        <w:t>There is currently no standard by the LCME that specifically requires all medical schools under its authority to train students in disability clinical care and competency training.</w:t>
      </w:r>
      <w:r w:rsidRPr="00E31AD0">
        <w:rPr>
          <w:rStyle w:val="EndnoteReference"/>
          <w:rFonts w:cs="Arial"/>
          <w:color w:val="auto"/>
        </w:rPr>
        <w:endnoteReference w:id="33"/>
      </w:r>
      <w:r w:rsidRPr="00E31AD0">
        <w:rPr>
          <w:rFonts w:cs="Arial"/>
          <w:color w:val="auto"/>
        </w:rPr>
        <w:t xml:space="preserve"> </w:t>
      </w:r>
      <w:r w:rsidRPr="00E31AD0">
        <w:rPr>
          <w:rFonts w:cs="Arial"/>
          <w:b/>
          <w:bCs/>
          <w:color w:val="auto"/>
        </w:rPr>
        <w:t xml:space="preserve">NCD recommends that the LCME establish a disability clinical care and competency standard in its </w:t>
      </w:r>
      <w:r w:rsidRPr="00E31AD0">
        <w:rPr>
          <w:rFonts w:cs="Arial"/>
          <w:b/>
          <w:bCs/>
          <w:i/>
          <w:iCs/>
          <w:color w:val="auto"/>
        </w:rPr>
        <w:t>Standards for Accreditation of Medical Education Programs Leading to the MD Degree.</w:t>
      </w:r>
    </w:p>
    <w:p w14:paraId="714A0C03" w14:textId="77777777" w:rsidR="001B5A3A" w:rsidRPr="00E31AD0" w:rsidRDefault="001B5A3A" w:rsidP="00096BD3">
      <w:pPr>
        <w:pStyle w:val="Heading4"/>
      </w:pPr>
      <w:r w:rsidRPr="00E31AD0">
        <w:t>Accreditation Council for Graduate Medical Education</w:t>
      </w:r>
    </w:p>
    <w:p w14:paraId="40BBB91D" w14:textId="77777777" w:rsidR="001B5A3A" w:rsidRPr="00E31AD0" w:rsidRDefault="001B5A3A" w:rsidP="00E31AD0">
      <w:pPr>
        <w:pStyle w:val="NCDBodyText"/>
        <w:suppressAutoHyphens/>
        <w:rPr>
          <w:rFonts w:cs="Arial"/>
          <w:b/>
          <w:bCs/>
          <w:color w:val="auto"/>
        </w:rPr>
      </w:pPr>
      <w:r w:rsidRPr="00E31AD0">
        <w:rPr>
          <w:rFonts w:cs="Arial"/>
          <w:color w:val="auto"/>
        </w:rPr>
        <w:t>The ACGME oversees the accreditation of residency and fellowship programs in the United States, following medical school. It sets and monitors voluntary professional education standards. The mission of the ACGME is to improve health care and population health by assessing and enhancing the quality of resident and fellow physicians’ education through advancements in accreditation and education.</w:t>
      </w:r>
      <w:r w:rsidRPr="00E31AD0">
        <w:rPr>
          <w:rStyle w:val="EndnoteReference"/>
          <w:rFonts w:cs="Arial"/>
          <w:color w:val="auto"/>
        </w:rPr>
        <w:endnoteReference w:id="34"/>
      </w:r>
      <w:r w:rsidRPr="00E31AD0">
        <w:rPr>
          <w:rFonts w:cs="Arial"/>
          <w:color w:val="auto"/>
        </w:rPr>
        <w:t xml:space="preserve"> The ACGME participated in a panel composed of policymakers and stakeholders that NCD hosted on disability clinical care and competency training.</w:t>
      </w:r>
      <w:r w:rsidRPr="00E31AD0">
        <w:rPr>
          <w:rStyle w:val="EndnoteReference"/>
          <w:rFonts w:cs="Arial"/>
          <w:color w:val="auto"/>
        </w:rPr>
        <w:endnoteReference w:id="35"/>
      </w:r>
      <w:r w:rsidRPr="00E31AD0">
        <w:rPr>
          <w:rFonts w:cs="Arial"/>
          <w:color w:val="auto"/>
        </w:rPr>
        <w:t xml:space="preserve"> The ACGME has made considerable efforts to draw attention to the fact that “physicians need to be better trained in how to care for patients with disabilities” (including through its 2025 Summit on Fostering Disability-Inclusive Care in Resident Education).</w:t>
      </w:r>
      <w:r w:rsidRPr="00E31AD0">
        <w:rPr>
          <w:rStyle w:val="EndnoteReference"/>
          <w:rFonts w:cs="Arial"/>
          <w:color w:val="auto"/>
        </w:rPr>
        <w:endnoteReference w:id="36"/>
      </w:r>
      <w:r w:rsidRPr="00E31AD0">
        <w:rPr>
          <w:rFonts w:cs="Arial"/>
          <w:color w:val="auto"/>
        </w:rPr>
        <w:t xml:space="preserve"> At present, though, the ACGME has elected to not establish a standard requiring graduate medical programs to train physicians in how to care for patients with disabilities.</w:t>
      </w:r>
      <w:r w:rsidRPr="00E31AD0">
        <w:rPr>
          <w:rFonts w:cs="Arial"/>
          <w:b/>
          <w:bCs/>
          <w:color w:val="auto"/>
        </w:rPr>
        <w:t xml:space="preserve"> NCD recommends that the ACGME establish a standard requiring graduate medical programs to train physicians in how to care for patients with disabilities.</w:t>
      </w:r>
    </w:p>
    <w:p w14:paraId="061E9877" w14:textId="77777777" w:rsidR="00096BD3" w:rsidRDefault="00096BD3">
      <w:pPr>
        <w:spacing w:after="0" w:line="240" w:lineRule="auto"/>
        <w:rPr>
          <w:rFonts w:eastAsia="Calibri" w:cs="Arial"/>
          <w:b/>
          <w:bCs/>
          <w:kern w:val="0"/>
          <w:u w:color="000000"/>
          <w:bdr w:val="nil"/>
        </w:rPr>
      </w:pPr>
      <w:r>
        <w:br w:type="page"/>
      </w:r>
    </w:p>
    <w:p w14:paraId="7CB96845" w14:textId="5246EDD3" w:rsidR="001B5A3A" w:rsidRPr="00E31AD0" w:rsidRDefault="001B5A3A" w:rsidP="00096BD3">
      <w:pPr>
        <w:pStyle w:val="Heading4"/>
      </w:pPr>
      <w:r w:rsidRPr="00E31AD0">
        <w:lastRenderedPageBreak/>
        <w:t>Commission on Osteopathic College Accreditation</w:t>
      </w:r>
    </w:p>
    <w:p w14:paraId="6FE21DFE" w14:textId="77777777" w:rsidR="001B5A3A" w:rsidRPr="00E31AD0" w:rsidRDefault="001B5A3A" w:rsidP="00E31AD0">
      <w:pPr>
        <w:pStyle w:val="NCDBodyText"/>
        <w:suppressAutoHyphens/>
        <w:rPr>
          <w:rFonts w:cs="Arial"/>
          <w:color w:val="auto"/>
        </w:rPr>
      </w:pPr>
      <w:r w:rsidRPr="00E31AD0">
        <w:rPr>
          <w:rFonts w:cs="Arial"/>
          <w:color w:val="auto"/>
        </w:rPr>
        <w:t>The Commission on Osteopathic Accreditation (COCA) is the accreditor of colleges of osteopathic medicine in the United States. COCA accreditation signifies that a college has met or exceeded the Commission’s standards for educational quality.</w:t>
      </w:r>
      <w:r w:rsidRPr="00E31AD0">
        <w:rPr>
          <w:rStyle w:val="EndnoteReference"/>
          <w:rFonts w:cs="Arial"/>
          <w:color w:val="auto"/>
        </w:rPr>
        <w:endnoteReference w:id="37"/>
      </w:r>
      <w:r w:rsidRPr="00E31AD0">
        <w:rPr>
          <w:rFonts w:cs="Arial"/>
          <w:color w:val="auto"/>
        </w:rPr>
        <w:t xml:space="preserve"> There is currently no standard by the COCA that specifically requires all medical schools under its authority to train students in disability clinical care and competency training.</w:t>
      </w:r>
      <w:r w:rsidRPr="00E31AD0">
        <w:rPr>
          <w:rStyle w:val="EndnoteReference"/>
          <w:rFonts w:cs="Arial"/>
          <w:color w:val="auto"/>
        </w:rPr>
        <w:endnoteReference w:id="38"/>
      </w:r>
      <w:r w:rsidRPr="00E31AD0">
        <w:rPr>
          <w:rFonts w:cs="Arial"/>
          <w:color w:val="auto"/>
        </w:rPr>
        <w:t xml:space="preserve"> </w:t>
      </w:r>
      <w:r w:rsidRPr="004C1B6D">
        <w:rPr>
          <w:rFonts w:cs="Arial"/>
          <w:b/>
          <w:bCs/>
          <w:color w:val="auto"/>
        </w:rPr>
        <w:t xml:space="preserve">NCD recommends that the COCA establish a disability clinical care and competency standard in its </w:t>
      </w:r>
      <w:r w:rsidRPr="004C1B6D">
        <w:rPr>
          <w:rFonts w:cs="Arial"/>
          <w:b/>
          <w:bCs/>
          <w:i/>
          <w:iCs/>
          <w:color w:val="auto"/>
        </w:rPr>
        <w:t>Continuing Accreditation Standards</w:t>
      </w:r>
      <w:r w:rsidRPr="004C1B6D">
        <w:rPr>
          <w:rFonts w:cs="Arial"/>
          <w:b/>
          <w:bCs/>
          <w:color w:val="auto"/>
        </w:rPr>
        <w:t>.</w:t>
      </w:r>
    </w:p>
    <w:p w14:paraId="50A58E16" w14:textId="77777777" w:rsidR="001B5A3A" w:rsidRPr="00E31AD0" w:rsidRDefault="001B5A3A" w:rsidP="00096BD3">
      <w:pPr>
        <w:pStyle w:val="Heading4"/>
      </w:pPr>
      <w:r w:rsidRPr="00E31AD0">
        <w:t>The Joint Commission (on Hospital Accreditation)</w:t>
      </w:r>
    </w:p>
    <w:p w14:paraId="7A48C2B9" w14:textId="77777777" w:rsidR="001B5A3A" w:rsidRPr="00E31AD0" w:rsidRDefault="001B5A3A" w:rsidP="00E31AD0">
      <w:pPr>
        <w:pStyle w:val="NCDBodyText"/>
        <w:suppressAutoHyphens/>
        <w:rPr>
          <w:rFonts w:cs="Arial"/>
          <w:color w:val="auto"/>
        </w:rPr>
      </w:pPr>
      <w:r w:rsidRPr="00E31AD0">
        <w:rPr>
          <w:rFonts w:cs="Arial"/>
          <w:color w:val="auto"/>
        </w:rPr>
        <w:t>The Joint Commission (JC) is an independent, nonprofit organization that accredits and certifies participating health care organizations and programs in the United States. Its primary mission is to improve health care quality and safety by setting rigorous standards and conducting onsite evaluations. JC standards must meet or exceed the federal Medicare standards established in the Conditions of Participation.</w:t>
      </w:r>
    </w:p>
    <w:p w14:paraId="54632027" w14:textId="77777777" w:rsidR="001B5A3A" w:rsidRPr="00E31AD0" w:rsidRDefault="001B5A3A" w:rsidP="00E31AD0">
      <w:pPr>
        <w:pStyle w:val="NCDBodyText"/>
        <w:suppressAutoHyphens/>
        <w:rPr>
          <w:rFonts w:cs="Arial"/>
          <w:b/>
          <w:bCs/>
          <w:color w:val="auto"/>
        </w:rPr>
      </w:pPr>
      <w:r w:rsidRPr="00E31AD0">
        <w:rPr>
          <w:rFonts w:cs="Arial"/>
          <w:color w:val="auto"/>
        </w:rPr>
        <w:t>The JC participated in a panel discussion with other policymakers and stakeholders that NCD hosted on disability clinical care and competency training.</w:t>
      </w:r>
      <w:r w:rsidRPr="00E31AD0">
        <w:rPr>
          <w:rStyle w:val="EndnoteReference"/>
          <w:rFonts w:cs="Arial"/>
          <w:color w:val="auto"/>
        </w:rPr>
        <w:endnoteReference w:id="39"/>
      </w:r>
      <w:r w:rsidRPr="00E31AD0">
        <w:rPr>
          <w:rFonts w:cs="Arial"/>
          <w:color w:val="auto"/>
        </w:rPr>
        <w:t xml:space="preserve"> In recent years, </w:t>
      </w:r>
      <w:proofErr w:type="gramStart"/>
      <w:r w:rsidRPr="00E31AD0">
        <w:rPr>
          <w:rFonts w:cs="Arial"/>
          <w:color w:val="auto"/>
        </w:rPr>
        <w:t>the JC</w:t>
      </w:r>
      <w:proofErr w:type="gramEnd"/>
      <w:r w:rsidRPr="00E31AD0">
        <w:rPr>
          <w:rFonts w:cs="Arial"/>
          <w:color w:val="auto"/>
        </w:rPr>
        <w:t xml:space="preserve"> has updated its hospital accreditation standards whereby it can potentially better serve people with disabilities. The updated standards include a new requirement that requires accredited organizations to identify and reduce disparities in care. Although the standard applies broadly, it can potentially benefit people with disabilities by requiring organizations to identify populations experiencing poorer outcomes or barriers to care, improve access to services, and develop action plans accordingly.</w:t>
      </w:r>
      <w:r w:rsidRPr="00E31AD0">
        <w:rPr>
          <w:rStyle w:val="EndnoteReference"/>
          <w:rFonts w:cs="Arial"/>
          <w:color w:val="auto"/>
        </w:rPr>
        <w:endnoteReference w:id="40"/>
      </w:r>
      <w:r w:rsidRPr="00E31AD0">
        <w:rPr>
          <w:rFonts w:cs="Arial"/>
          <w:color w:val="auto"/>
        </w:rPr>
        <w:t xml:space="preserve"> The JC’s position on disability clinical care and competency training, however, has stopped short of requiring training.</w:t>
      </w:r>
      <w:r w:rsidRPr="00E31AD0">
        <w:rPr>
          <w:rFonts w:cs="Arial"/>
          <w:b/>
          <w:bCs/>
          <w:color w:val="auto"/>
        </w:rPr>
        <w:t xml:space="preserve"> NCD recommends that the JC </w:t>
      </w:r>
      <w:proofErr w:type="gramStart"/>
      <w:r w:rsidRPr="00E31AD0">
        <w:rPr>
          <w:rFonts w:cs="Arial"/>
          <w:b/>
          <w:bCs/>
          <w:color w:val="auto"/>
        </w:rPr>
        <w:t>require</w:t>
      </w:r>
      <w:proofErr w:type="gramEnd"/>
      <w:r w:rsidRPr="00E31AD0">
        <w:rPr>
          <w:rFonts w:cs="Arial"/>
          <w:b/>
          <w:bCs/>
          <w:color w:val="auto"/>
        </w:rPr>
        <w:t xml:space="preserve"> disability clinical care and competency training of providers in the health care organizations that it certifies.</w:t>
      </w:r>
    </w:p>
    <w:p w14:paraId="79D55633" w14:textId="77777777" w:rsidR="001B5A3A" w:rsidRPr="00E31AD0" w:rsidRDefault="001B5A3A" w:rsidP="00096BD3">
      <w:pPr>
        <w:pStyle w:val="Heading4"/>
      </w:pPr>
      <w:r w:rsidRPr="00E31AD0">
        <w:t>American Medical Association</w:t>
      </w:r>
    </w:p>
    <w:p w14:paraId="0858E129" w14:textId="77777777" w:rsidR="001B5A3A" w:rsidRPr="00E31AD0" w:rsidRDefault="001B5A3A" w:rsidP="00E31AD0">
      <w:pPr>
        <w:pStyle w:val="NCDBodyText"/>
        <w:suppressAutoHyphens/>
        <w:rPr>
          <w:rFonts w:cs="Arial"/>
          <w:color w:val="auto"/>
        </w:rPr>
      </w:pPr>
      <w:r w:rsidRPr="00E31AD0">
        <w:rPr>
          <w:rFonts w:cs="Arial"/>
          <w:color w:val="auto"/>
        </w:rPr>
        <w:t>The AMA is a professional organization whose mission is to promote the art and science of medicine and the betterment of public health.</w:t>
      </w:r>
      <w:r w:rsidRPr="00E31AD0">
        <w:rPr>
          <w:rStyle w:val="EndnoteReference"/>
          <w:rFonts w:cs="Arial"/>
          <w:color w:val="auto"/>
        </w:rPr>
        <w:endnoteReference w:id="41"/>
      </w:r>
      <w:r w:rsidRPr="00E31AD0">
        <w:rPr>
          <w:rFonts w:cs="Arial"/>
          <w:color w:val="auto"/>
        </w:rPr>
        <w:t xml:space="preserve"> The AMA participated in a </w:t>
      </w:r>
      <w:r w:rsidRPr="00E31AD0">
        <w:rPr>
          <w:rFonts w:cs="Arial"/>
          <w:color w:val="auto"/>
        </w:rPr>
        <w:lastRenderedPageBreak/>
        <w:t>panel composed of policymakers and stakeholders that NCD hosted on disability clinical care and competency training.</w:t>
      </w:r>
      <w:r w:rsidRPr="00E31AD0">
        <w:rPr>
          <w:rStyle w:val="EndnoteReference"/>
          <w:rFonts w:cs="Arial"/>
          <w:color w:val="auto"/>
        </w:rPr>
        <w:endnoteReference w:id="42"/>
      </w:r>
      <w:r w:rsidRPr="00E31AD0">
        <w:rPr>
          <w:rFonts w:cs="Arial"/>
          <w:color w:val="auto"/>
        </w:rPr>
        <w:t xml:space="preserve"> The AMA’s position concerning disability clinical care and competency training is that it supports the integration of comprehensive disability clinical care and competency training into medical education. Although the AMA is a co-sponsor of the LCME, it does not have direct authority over the LCME’s decisions regarding accreditation standards. Nonetheless, in 2022, the AMA House of Delegates adopted Policy H-90.968, “Medical Care of Persons with Disabilities.” Among other provisions, the policy states: “Our AMA encourages the Liaison Committee on Medical Education, Commission on Osteopathic College Accreditation, and allopathic and osteopathic medical schools to develop and implement a curriculum on the care and treatment of people with a range of disabilities.” The policy further states that the AMA “encourages the Accreditation Council for Graduate Medical Education and graduate medical education programs to develop and implement curriculum on providing appropriate and comprehensive health care to people with a range of disabilities.”</w:t>
      </w:r>
      <w:r w:rsidRPr="00E31AD0">
        <w:rPr>
          <w:rStyle w:val="EndnoteReference"/>
          <w:rFonts w:cs="Arial"/>
          <w:color w:val="auto"/>
        </w:rPr>
        <w:endnoteReference w:id="43"/>
      </w:r>
      <w:r w:rsidRPr="00E31AD0">
        <w:rPr>
          <w:rFonts w:cs="Arial"/>
          <w:color w:val="auto"/>
        </w:rPr>
        <w:t xml:space="preserve"> NCD fully supports and commends the AMA for this policy.</w:t>
      </w:r>
    </w:p>
    <w:p w14:paraId="54C29478" w14:textId="77777777" w:rsidR="001B5A3A" w:rsidRPr="00E31AD0" w:rsidRDefault="001B5A3A" w:rsidP="00096BD3">
      <w:pPr>
        <w:pStyle w:val="Heading4"/>
      </w:pPr>
      <w:r w:rsidRPr="00E31AD0">
        <w:t>Association of American Medical Colleges</w:t>
      </w:r>
    </w:p>
    <w:p w14:paraId="47C6B0BC" w14:textId="77777777" w:rsidR="001B5A3A" w:rsidRPr="00E31AD0" w:rsidRDefault="001B5A3A" w:rsidP="00E31AD0">
      <w:pPr>
        <w:pStyle w:val="NCDBodyText"/>
        <w:suppressAutoHyphens/>
        <w:rPr>
          <w:rFonts w:cs="Arial"/>
          <w:b/>
          <w:bCs/>
          <w:color w:val="auto"/>
        </w:rPr>
      </w:pPr>
      <w:r w:rsidRPr="00E31AD0">
        <w:rPr>
          <w:rFonts w:cs="Arial"/>
          <w:color w:val="auto"/>
        </w:rPr>
        <w:t>The AAMC aims to “advance academic medicine by leading and serving medical schools, academic health systems and teaching hospitals, and academic societies.”</w:t>
      </w:r>
      <w:r w:rsidRPr="00E31AD0">
        <w:rPr>
          <w:rStyle w:val="EndnoteReference"/>
          <w:rFonts w:cs="Arial"/>
          <w:color w:val="auto"/>
        </w:rPr>
        <w:endnoteReference w:id="44"/>
      </w:r>
      <w:r w:rsidRPr="00E31AD0">
        <w:rPr>
          <w:rFonts w:cs="Arial"/>
          <w:color w:val="auto"/>
        </w:rPr>
        <w:t xml:space="preserve"> The AAMC participated in a panel discussion with policymakers and stakeholders that NCD hosted on disability clinical care and competency training.</w:t>
      </w:r>
      <w:r w:rsidRPr="00E31AD0">
        <w:rPr>
          <w:rStyle w:val="EndnoteReference"/>
          <w:rFonts w:cs="Arial"/>
          <w:color w:val="auto"/>
        </w:rPr>
        <w:endnoteReference w:id="45"/>
      </w:r>
      <w:r w:rsidRPr="00E31AD0">
        <w:rPr>
          <w:rFonts w:cs="Arial"/>
          <w:color w:val="auto"/>
        </w:rPr>
        <w:t xml:space="preserve"> The AAMC’s position on required disability clinical care and competency training is that it recognizes the importance of including disability and accessibility in its mission to support the disparate needs of patients, including curriculum design in medical education.</w:t>
      </w:r>
      <w:r w:rsidRPr="00E31AD0">
        <w:rPr>
          <w:rStyle w:val="EndnoteReference"/>
          <w:rFonts w:cs="Arial"/>
          <w:color w:val="auto"/>
        </w:rPr>
        <w:endnoteReference w:id="46"/>
      </w:r>
      <w:r w:rsidRPr="00E31AD0">
        <w:rPr>
          <w:rFonts w:cs="Arial"/>
          <w:color w:val="auto"/>
        </w:rPr>
        <w:t xml:space="preserve"> However, like the AMA, although the AAMC is a co-sponsor of the LCME, it does not have direct authority over the LCME’s decisions regarding accreditation standards. The AAMC has promoted disability-related competencies and educational resources for undergraduate medical education</w:t>
      </w:r>
      <w:r w:rsidRPr="00E31AD0">
        <w:rPr>
          <w:rStyle w:val="EndnoteReference"/>
          <w:rFonts w:cs="Arial"/>
          <w:color w:val="auto"/>
        </w:rPr>
        <w:endnoteReference w:id="47"/>
      </w:r>
      <w:r w:rsidRPr="00E31AD0">
        <w:rPr>
          <w:rFonts w:cs="Arial"/>
          <w:color w:val="auto"/>
        </w:rPr>
        <w:t xml:space="preserve"> but has not formally called on the LCME or the ACGME to establish disability clinical care and competency training standards. Although the AAMC does not have direct authority over the LCME,</w:t>
      </w:r>
      <w:r w:rsidRPr="00E31AD0">
        <w:rPr>
          <w:rFonts w:cs="Arial"/>
          <w:b/>
          <w:bCs/>
          <w:color w:val="auto"/>
        </w:rPr>
        <w:t xml:space="preserve"> NCD nonetheless recommends that the AAMC explicitly recommend that the LCME develop a disability clinical care and </w:t>
      </w:r>
      <w:r w:rsidRPr="00E31AD0">
        <w:rPr>
          <w:rFonts w:cs="Arial"/>
          <w:b/>
          <w:bCs/>
          <w:color w:val="auto"/>
        </w:rPr>
        <w:lastRenderedPageBreak/>
        <w:t>competency training standard. NCD further recommends that the AAMC explicitly recommend that the ACGME does the same.</w:t>
      </w:r>
    </w:p>
    <w:p w14:paraId="2C7700C7" w14:textId="77777777" w:rsidR="001B5A3A" w:rsidRPr="00E31AD0" w:rsidRDefault="001B5A3A" w:rsidP="00096BD3">
      <w:pPr>
        <w:pStyle w:val="Heading4"/>
      </w:pPr>
      <w:r w:rsidRPr="00E31AD0">
        <w:t>Licensing Examinations</w:t>
      </w:r>
    </w:p>
    <w:p w14:paraId="6C659C05" w14:textId="77777777" w:rsidR="001B5A3A" w:rsidRPr="00E31AD0" w:rsidRDefault="001B5A3A" w:rsidP="00E31AD0">
      <w:pPr>
        <w:pStyle w:val="NCDBodyText"/>
        <w:suppressAutoHyphens/>
        <w:rPr>
          <w:rFonts w:cs="Arial"/>
          <w:color w:val="auto"/>
        </w:rPr>
      </w:pPr>
      <w:r w:rsidRPr="00E31AD0">
        <w:rPr>
          <w:rFonts w:cs="Arial"/>
          <w:color w:val="auto"/>
        </w:rPr>
        <w:t>The USMLE</w:t>
      </w:r>
      <w:r w:rsidRPr="00E31AD0">
        <w:rPr>
          <w:color w:val="auto"/>
        </w:rPr>
        <w:t xml:space="preserve"> </w:t>
      </w:r>
      <w:r w:rsidRPr="00E31AD0">
        <w:rPr>
          <w:rFonts w:cs="Arial"/>
          <w:color w:val="auto"/>
        </w:rPr>
        <w:t>is a three-step examination for medical licensure in the United States. It “assesses an examinee’s ability to apply knowledge, concepts, and principles, and to demonstrate fundamental patient-centered skills.”</w:t>
      </w:r>
      <w:r w:rsidRPr="00E31AD0">
        <w:rPr>
          <w:rStyle w:val="EndnoteReference"/>
          <w:rFonts w:cs="Arial"/>
          <w:color w:val="auto"/>
        </w:rPr>
        <w:endnoteReference w:id="48"/>
      </w:r>
      <w:r w:rsidRPr="00E31AD0">
        <w:rPr>
          <w:rFonts w:cs="Arial"/>
          <w:color w:val="auto"/>
        </w:rPr>
        <w:t xml:space="preserve"> “These skills constitute the basis of safe and effective patient care.”</w:t>
      </w:r>
      <w:r w:rsidRPr="00E31AD0">
        <w:rPr>
          <w:rStyle w:val="EndnoteReference"/>
          <w:rFonts w:cs="Arial"/>
          <w:color w:val="auto"/>
        </w:rPr>
        <w:endnoteReference w:id="49"/>
      </w:r>
      <w:r w:rsidRPr="00E31AD0">
        <w:rPr>
          <w:rFonts w:cs="Arial"/>
          <w:color w:val="auto"/>
        </w:rPr>
        <w:t xml:space="preserve"> However, research indicates that of the six Core Competencies on Disability on Health Care Education (created by the Alliance for Disability in Health Care Education in partnership with the Ohio Disability in Health Partnership,</w:t>
      </w:r>
      <w:r w:rsidRPr="00E31AD0">
        <w:rPr>
          <w:rStyle w:val="EndnoteReference"/>
          <w:rFonts w:cs="Arial"/>
          <w:color w:val="auto"/>
        </w:rPr>
        <w:endnoteReference w:id="50"/>
      </w:r>
      <w:r w:rsidRPr="00E31AD0">
        <w:rPr>
          <w:rFonts w:cs="Arial"/>
          <w:color w:val="auto"/>
        </w:rPr>
        <w:t xml:space="preserve"> all six of which match six of NCD’s eight Core Competencies</w:t>
      </w:r>
      <w:r w:rsidRPr="00E31AD0">
        <w:rPr>
          <w:rStyle w:val="EndnoteReference"/>
          <w:rFonts w:cs="Arial"/>
          <w:color w:val="auto"/>
        </w:rPr>
        <w:endnoteReference w:id="51"/>
      </w:r>
      <w:r w:rsidRPr="00E31AD0">
        <w:rPr>
          <w:rFonts w:cs="Arial"/>
          <w:color w:val="auto"/>
        </w:rPr>
        <w:t>), two competencies were present in the USMLE exam content outline, with the word “</w:t>
      </w:r>
      <w:proofErr w:type="spellStart"/>
      <w:r w:rsidRPr="00E31AD0">
        <w:rPr>
          <w:rFonts w:cs="Arial"/>
          <w:color w:val="auto"/>
        </w:rPr>
        <w:t>disabilit</w:t>
      </w:r>
      <w:proofErr w:type="spellEnd"/>
      <w:r w:rsidRPr="00E31AD0">
        <w:rPr>
          <w:rFonts w:cs="Arial"/>
          <w:color w:val="auto"/>
        </w:rPr>
        <w:t>(y/</w:t>
      </w:r>
      <w:proofErr w:type="spellStart"/>
      <w:r w:rsidRPr="00E31AD0">
        <w:rPr>
          <w:rFonts w:cs="Arial"/>
          <w:color w:val="auto"/>
        </w:rPr>
        <w:t>ies</w:t>
      </w:r>
      <w:proofErr w:type="spellEnd"/>
      <w:r w:rsidRPr="00E31AD0">
        <w:rPr>
          <w:rFonts w:cs="Arial"/>
          <w:color w:val="auto"/>
        </w:rPr>
        <w:t>)” appearing three times.</w:t>
      </w:r>
      <w:r w:rsidRPr="00E31AD0">
        <w:rPr>
          <w:rStyle w:val="EndnoteReference"/>
          <w:rFonts w:cs="Arial"/>
          <w:color w:val="auto"/>
        </w:rPr>
        <w:endnoteReference w:id="52"/>
      </w:r>
      <w:r w:rsidRPr="00E31AD0">
        <w:rPr>
          <w:rFonts w:cs="Arial"/>
          <w:color w:val="auto"/>
        </w:rPr>
        <w:t xml:space="preserve"> According to the study done, on average, health professions licensure exams (including for the professions of allopathic physicians, osteopathic physicians, registered nurses, clinical social workers, occupational therapists, speech language pathologists, physician assistants, and physical therapists), as proxied by their content outlines, addressed only half of the Core Competencies on Disability, typically in a limited, particular way. </w:t>
      </w:r>
      <w:r w:rsidRPr="00E31AD0">
        <w:rPr>
          <w:rFonts w:cs="Arial"/>
          <w:b/>
          <w:bCs/>
          <w:color w:val="auto"/>
        </w:rPr>
        <w:t>NCD recommends that state licensing examinations be revised to reflect robust testing of each of NCD’s Core Competencies,</w:t>
      </w:r>
      <w:r w:rsidRPr="00E31AD0">
        <w:rPr>
          <w:rStyle w:val="EndnoteReference"/>
          <w:rFonts w:cs="Arial"/>
          <w:b/>
          <w:bCs/>
          <w:color w:val="auto"/>
        </w:rPr>
        <w:endnoteReference w:id="53"/>
      </w:r>
      <w:r w:rsidRPr="00E31AD0">
        <w:rPr>
          <w:rFonts w:cs="Arial"/>
          <w:b/>
          <w:bCs/>
          <w:color w:val="auto"/>
        </w:rPr>
        <w:t xml:space="preserve"> which also encompass the six Core Competencies on Disability created by the Alliance for Disability in Health Care Education.</w:t>
      </w:r>
    </w:p>
    <w:p w14:paraId="111F61D5" w14:textId="77777777" w:rsidR="001B5A3A" w:rsidRPr="00096BD3" w:rsidRDefault="001B5A3A" w:rsidP="00096BD3">
      <w:pPr>
        <w:pStyle w:val="Heading2"/>
      </w:pPr>
      <w:bookmarkStart w:id="76" w:name="_Toc242711232"/>
      <w:r w:rsidRPr="00096BD3">
        <w:t>The Current Status of Health Care Provider Education in Medical Training</w:t>
      </w:r>
      <w:bookmarkEnd w:id="76"/>
    </w:p>
    <w:p w14:paraId="7BF8DF26" w14:textId="77777777" w:rsidR="001B5A3A" w:rsidRPr="00E31AD0" w:rsidRDefault="001B5A3A" w:rsidP="00E31AD0">
      <w:pPr>
        <w:pStyle w:val="NCDBodyText"/>
        <w:suppressAutoHyphens/>
        <w:rPr>
          <w:rFonts w:cs="Arial"/>
          <w:color w:val="auto"/>
        </w:rPr>
      </w:pPr>
      <w:r w:rsidRPr="00E31AD0">
        <w:rPr>
          <w:rFonts w:cs="Arial"/>
          <w:color w:val="auto"/>
        </w:rPr>
        <w:t xml:space="preserve">Although some medical schools and residency programs include disability clinical care and competency in their training, the majority do not. As it did in its </w:t>
      </w:r>
      <w:r w:rsidRPr="00E31AD0">
        <w:rPr>
          <w:rFonts w:cs="Arial"/>
          <w:i/>
          <w:iCs/>
          <w:color w:val="auto"/>
        </w:rPr>
        <w:t>Framework to End Health Disparities of People with Disabilities</w:t>
      </w:r>
      <w:r w:rsidRPr="00E31AD0">
        <w:rPr>
          <w:rFonts w:cs="Arial"/>
          <w:color w:val="auto"/>
        </w:rPr>
        <w:t>,</w:t>
      </w:r>
      <w:r w:rsidRPr="00E31AD0">
        <w:rPr>
          <w:rStyle w:val="EndnoteReference"/>
          <w:rFonts w:cs="Arial"/>
          <w:color w:val="auto"/>
        </w:rPr>
        <w:endnoteReference w:id="54"/>
      </w:r>
      <w:r w:rsidRPr="00E31AD0">
        <w:rPr>
          <w:rFonts w:cs="Arial"/>
          <w:color w:val="auto"/>
        </w:rPr>
        <w:t xml:space="preserve"> </w:t>
      </w:r>
      <w:r w:rsidRPr="00E31AD0">
        <w:rPr>
          <w:rFonts w:cs="Arial"/>
          <w:b/>
          <w:bCs/>
          <w:color w:val="auto"/>
        </w:rPr>
        <w:t>NCD again recommends the creation of a model comprehensive disability clinical care competency curricula by HHS that encompasses the framework we set forth below</w:t>
      </w:r>
      <w:r w:rsidRPr="00E31AD0">
        <w:rPr>
          <w:rFonts w:cs="Arial"/>
          <w:color w:val="auto"/>
        </w:rPr>
        <w:t xml:space="preserve"> for use and adoption by schools that do not have the capacity to develop their own curricula. For schools that </w:t>
      </w:r>
      <w:r w:rsidRPr="00E31AD0">
        <w:rPr>
          <w:rFonts w:cs="Arial"/>
          <w:color w:val="auto"/>
        </w:rPr>
        <w:lastRenderedPageBreak/>
        <w:t>endeavor to create their own curricula, they should also encompass the following framework.</w:t>
      </w:r>
    </w:p>
    <w:p w14:paraId="1595AC8B" w14:textId="77777777" w:rsidR="001B5A3A" w:rsidRPr="00E31AD0" w:rsidRDefault="001B5A3A" w:rsidP="00096BD3">
      <w:pPr>
        <w:pStyle w:val="Heading4"/>
      </w:pPr>
      <w:r w:rsidRPr="00E31AD0">
        <w:t>Model Disability Clinical Care Competency Curricula Framework</w:t>
      </w:r>
      <w:r w:rsidRPr="00E31AD0">
        <w:rPr>
          <w:rStyle w:val="EndnoteReference"/>
        </w:rPr>
        <w:endnoteReference w:id="55"/>
      </w:r>
    </w:p>
    <w:p w14:paraId="2A090E2A" w14:textId="47267A3C" w:rsidR="001B5A3A" w:rsidRPr="00E31AD0" w:rsidRDefault="001B5A3A" w:rsidP="00096BD3">
      <w:pPr>
        <w:pStyle w:val="NCDBulletsLevel1"/>
      </w:pPr>
      <w:r w:rsidRPr="00E31AD0">
        <w:t>Competency 1: Contextual and Conceptual Frameworks on Disability</w:t>
      </w:r>
    </w:p>
    <w:p w14:paraId="3871278B" w14:textId="7B8B20C8" w:rsidR="001B5A3A" w:rsidRPr="00E31AD0" w:rsidRDefault="001B5A3A" w:rsidP="00096BD3">
      <w:pPr>
        <w:pStyle w:val="NCDBulletsLevel1"/>
      </w:pPr>
      <w:r w:rsidRPr="00E31AD0">
        <w:t>Competency 2: Professionalism and Patient-Centered Care</w:t>
      </w:r>
    </w:p>
    <w:p w14:paraId="663A730A" w14:textId="5DA20984" w:rsidR="001B5A3A" w:rsidRPr="00E31AD0" w:rsidRDefault="001B5A3A" w:rsidP="00096BD3">
      <w:pPr>
        <w:pStyle w:val="NCDBulletsLevel1"/>
      </w:pPr>
      <w:r w:rsidRPr="00E31AD0">
        <w:t>Competency 3: Legal Obligations and Responsibilities for Caring for Patients</w:t>
      </w:r>
      <w:r w:rsidR="00096BD3">
        <w:t xml:space="preserve"> </w:t>
      </w:r>
      <w:r w:rsidRPr="00E31AD0">
        <w:t>with Disabilities</w:t>
      </w:r>
    </w:p>
    <w:p w14:paraId="6B5C262A" w14:textId="2AF79DD7" w:rsidR="001B5A3A" w:rsidRPr="00E31AD0" w:rsidRDefault="001B5A3A" w:rsidP="00096BD3">
      <w:pPr>
        <w:pStyle w:val="NCDBulletsLevel1"/>
      </w:pPr>
      <w:r w:rsidRPr="00E31AD0">
        <w:t>Competency 4: Teams and Systems-Based Practice</w:t>
      </w:r>
    </w:p>
    <w:p w14:paraId="493109CD" w14:textId="57BD3ADB" w:rsidR="001B5A3A" w:rsidRPr="00E31AD0" w:rsidRDefault="001B5A3A" w:rsidP="00096BD3">
      <w:pPr>
        <w:pStyle w:val="NCDBulletsLevel1"/>
      </w:pPr>
      <w:r w:rsidRPr="00E31AD0">
        <w:t>Competency 5: Clinical Assessment</w:t>
      </w:r>
    </w:p>
    <w:p w14:paraId="7951D0B7" w14:textId="1F7403FD" w:rsidR="001B5A3A" w:rsidRPr="00E31AD0" w:rsidRDefault="001B5A3A" w:rsidP="00096BD3">
      <w:pPr>
        <w:pStyle w:val="NCDBulletsLevel1"/>
      </w:pPr>
      <w:r w:rsidRPr="00E31AD0">
        <w:t>Competency 6: Clinical Care over the Lifespan and During Transitions</w:t>
      </w:r>
    </w:p>
    <w:p w14:paraId="52C0F51D" w14:textId="1644FE31" w:rsidR="001B5A3A" w:rsidRPr="00E31AD0" w:rsidRDefault="001B5A3A" w:rsidP="00096BD3">
      <w:pPr>
        <w:pStyle w:val="NCDBulletsLevel1"/>
      </w:pPr>
      <w:r w:rsidRPr="00E31AD0">
        <w:t>Competency 7: Effective Communication</w:t>
      </w:r>
    </w:p>
    <w:p w14:paraId="4F884475" w14:textId="57A4AE9F" w:rsidR="001B5A3A" w:rsidRPr="00E31AD0" w:rsidRDefault="001B5A3A" w:rsidP="00096BD3">
      <w:pPr>
        <w:pStyle w:val="NCDBulletsLevel1"/>
      </w:pPr>
      <w:r w:rsidRPr="00E31AD0">
        <w:t>Competency 8: Advocacy</w:t>
      </w:r>
    </w:p>
    <w:p w14:paraId="39B71E10" w14:textId="090591A3" w:rsidR="001B5A3A" w:rsidRPr="00E31AD0" w:rsidRDefault="00840792" w:rsidP="00840792">
      <w:pPr>
        <w:pStyle w:val="NCDBodyText"/>
        <w:suppressAutoHyphens/>
        <w:rPr>
          <w:rFonts w:cs="Arial"/>
          <w:color w:val="auto"/>
        </w:rPr>
      </w:pPr>
      <w:r w:rsidRPr="00840792">
        <w:rPr>
          <w:rFonts w:cs="Arial"/>
          <w:color w:val="auto"/>
        </w:rPr>
        <w:t>Of the minority of schools that voluntarily include disability clinical care and competency training in their programs, positive role models stand out for schools with no such programs.</w:t>
      </w:r>
    </w:p>
    <w:p w14:paraId="41091252" w14:textId="77777777" w:rsidR="001B5A3A" w:rsidRPr="00E31AD0" w:rsidRDefault="001B5A3A" w:rsidP="00720DA6">
      <w:pPr>
        <w:pStyle w:val="Heading4"/>
      </w:pPr>
      <w:r w:rsidRPr="00E31AD0">
        <w:t>Harvard Medical School</w:t>
      </w:r>
    </w:p>
    <w:p w14:paraId="1410AAB5" w14:textId="77777777" w:rsidR="001B5A3A" w:rsidRPr="00E31AD0" w:rsidRDefault="001B5A3A" w:rsidP="00E31AD0">
      <w:pPr>
        <w:pStyle w:val="NCDBodyText"/>
        <w:suppressAutoHyphens/>
        <w:rPr>
          <w:rFonts w:cs="Arial"/>
          <w:color w:val="auto"/>
        </w:rPr>
      </w:pPr>
      <w:r w:rsidRPr="00E31AD0">
        <w:rPr>
          <w:rFonts w:cs="Arial"/>
          <w:color w:val="auto"/>
        </w:rPr>
        <w:t>At Harvard Medical School, all students engage in a mandatory integrated disability curriculum across their four-year trajectory to steadily develop a disability lens in their approach to patient care and work environment, informed by reflection on personal and systemic biases, development of clinical and communication skills, and direct experiences learning from individuals living with disabilities.</w:t>
      </w:r>
    </w:p>
    <w:p w14:paraId="5E71B034" w14:textId="77777777" w:rsidR="001B5A3A" w:rsidRPr="00E31AD0" w:rsidRDefault="001B5A3A" w:rsidP="00E31AD0">
      <w:pPr>
        <w:pStyle w:val="NCDBodyText"/>
        <w:suppressAutoHyphens/>
        <w:rPr>
          <w:rFonts w:cs="Arial"/>
          <w:color w:val="auto"/>
        </w:rPr>
      </w:pPr>
      <w:r w:rsidRPr="00E31AD0">
        <w:rPr>
          <w:rFonts w:cs="Arial"/>
          <w:color w:val="auto"/>
        </w:rPr>
        <w:t xml:space="preserve">The School provides a four-pronged, multilevel approach to disability education, including (1) a mandatory integrated longitudinal disability curriculum that spans every medical student’s full four-year medical school trajectory; (2) engagement of community resources and advocates in the design, implementation, and evaluation of all curricular </w:t>
      </w:r>
      <w:r w:rsidRPr="00E31AD0">
        <w:rPr>
          <w:rFonts w:cs="Arial"/>
          <w:color w:val="auto"/>
        </w:rPr>
        <w:lastRenderedPageBreak/>
        <w:t>elements; (3) faculty development to inform the school's medical educator and clinician community; and (4) a structured approach to incubating future leaders in disability in health care.</w:t>
      </w:r>
    </w:p>
    <w:p w14:paraId="4A819B8C" w14:textId="77777777" w:rsidR="001B5A3A" w:rsidRPr="00E31AD0" w:rsidRDefault="001B5A3A" w:rsidP="00E31AD0">
      <w:pPr>
        <w:pStyle w:val="NCDBodyText"/>
        <w:suppressAutoHyphens/>
        <w:rPr>
          <w:rFonts w:cs="Arial"/>
          <w:color w:val="auto"/>
        </w:rPr>
      </w:pPr>
      <w:r w:rsidRPr="00E31AD0">
        <w:rPr>
          <w:rFonts w:cs="Arial"/>
          <w:color w:val="auto"/>
        </w:rPr>
        <w:t>Content is delivered through a partnership of disability experts (students, house staff, faculty, community members) and the course directors for every course in which the disability curriculum is embedded. Prior to graduation, students’ communication skills are assessed with a patient who communicates nonverbally and their caregiver in an Objective Structured Clinical Examination format, giving every student the opportunity to practice and reflect on their skillset and review it with a faculty preceptor directly observing the interaction.</w:t>
      </w:r>
      <w:r w:rsidRPr="00E31AD0">
        <w:rPr>
          <w:rStyle w:val="EndnoteReference"/>
          <w:rFonts w:cs="Arial"/>
          <w:color w:val="auto"/>
        </w:rPr>
        <w:endnoteReference w:id="56"/>
      </w:r>
    </w:p>
    <w:p w14:paraId="69392FD6" w14:textId="77777777" w:rsidR="001B5A3A" w:rsidRPr="00720DA6" w:rsidRDefault="001B5A3A" w:rsidP="00720DA6">
      <w:pPr>
        <w:pStyle w:val="Heading3"/>
        <w:rPr>
          <w:i/>
          <w:iCs/>
        </w:rPr>
      </w:pPr>
      <w:bookmarkStart w:id="77" w:name="_Toc242711233"/>
      <w:r w:rsidRPr="00720DA6">
        <w:rPr>
          <w:i/>
          <w:iCs/>
        </w:rPr>
        <w:t>University of Illinois Chicago Medical School</w:t>
      </w:r>
      <w:bookmarkEnd w:id="77"/>
    </w:p>
    <w:p w14:paraId="51ED06BF" w14:textId="77777777" w:rsidR="001B5A3A" w:rsidRPr="00E31AD0" w:rsidRDefault="001B5A3A" w:rsidP="00E31AD0">
      <w:pPr>
        <w:pStyle w:val="NCDBodyText"/>
        <w:suppressAutoHyphens/>
        <w:rPr>
          <w:rFonts w:cs="Arial"/>
          <w:color w:val="auto"/>
        </w:rPr>
      </w:pPr>
      <w:r w:rsidRPr="00E31AD0">
        <w:rPr>
          <w:rFonts w:cs="Arial"/>
          <w:color w:val="auto"/>
        </w:rPr>
        <w:t>At the University of Illinois Chicago (UIC) Medical School, students must demonstrate sensitivity and responsiveness to a diverse patient population, including but not limited to diversity in gender, age, culture, race, religion, disabilities, and sexual orientation. Their guiding principle in incorporating disability is described as presenting conceptual framework sessions and following up with application exercises or sessions in core cases and team-based learning (TBL).</w:t>
      </w:r>
    </w:p>
    <w:p w14:paraId="0D28BDB5" w14:textId="77777777" w:rsidR="001B5A3A" w:rsidRPr="00E31AD0" w:rsidRDefault="001B5A3A" w:rsidP="00E31AD0">
      <w:pPr>
        <w:pStyle w:val="NCDBodyText"/>
        <w:suppressAutoHyphens/>
        <w:rPr>
          <w:rFonts w:cs="Arial"/>
          <w:color w:val="auto"/>
        </w:rPr>
      </w:pPr>
      <w:r w:rsidRPr="00E31AD0">
        <w:rPr>
          <w:rFonts w:cs="Arial"/>
          <w:color w:val="auto"/>
        </w:rPr>
        <w:t>UIC Medical School’s current roadmap of its disability curriculum includes:</w:t>
      </w:r>
    </w:p>
    <w:p w14:paraId="6F0286F1" w14:textId="1BA06956" w:rsidR="001B5A3A" w:rsidRPr="00E31AD0" w:rsidRDefault="001B5A3A" w:rsidP="00E31AD0">
      <w:pPr>
        <w:pStyle w:val="NCDBodyText"/>
        <w:suppressAutoHyphens/>
        <w:rPr>
          <w:rFonts w:cs="Arial"/>
          <w:color w:val="auto"/>
        </w:rPr>
      </w:pPr>
      <w:r w:rsidRPr="00E31AD0">
        <w:rPr>
          <w:rFonts w:cs="Arial"/>
          <w:color w:val="auto"/>
        </w:rPr>
        <w:t>Phase 1: preclinical material (</w:t>
      </w:r>
      <w:proofErr w:type="gramStart"/>
      <w:r w:rsidRPr="00E31AD0">
        <w:rPr>
          <w:rFonts w:cs="Arial"/>
          <w:color w:val="auto"/>
        </w:rPr>
        <w:t>all of</w:t>
      </w:r>
      <w:proofErr w:type="gramEnd"/>
      <w:r w:rsidRPr="00E31AD0">
        <w:rPr>
          <w:rFonts w:cs="Arial"/>
          <w:color w:val="auto"/>
        </w:rPr>
        <w:t xml:space="preserve"> M1 [first year] and half of M2 [second year]): </w:t>
      </w:r>
      <w:r w:rsidR="00D20571">
        <w:rPr>
          <w:rFonts w:cs="Arial"/>
          <w:color w:val="auto"/>
        </w:rPr>
        <w:br/>
        <w:t xml:space="preserve">1. </w:t>
      </w:r>
      <w:r w:rsidRPr="00E31AD0">
        <w:rPr>
          <w:rFonts w:cs="Arial"/>
          <w:color w:val="auto"/>
        </w:rPr>
        <w:t>stand-alone conceptual framework sessions (1–2 hours, often with small group discussions); and 2. disability content integrated into relevant TBLs/core cases (about 20-30 minutes of content is embedded in 2-3 hours of materials).</w:t>
      </w:r>
    </w:p>
    <w:p w14:paraId="4EFFC29C" w14:textId="77777777" w:rsidR="001B5A3A" w:rsidRPr="00E31AD0" w:rsidRDefault="001B5A3A" w:rsidP="00E31AD0">
      <w:pPr>
        <w:pStyle w:val="NCDBodyText"/>
        <w:suppressAutoHyphens/>
        <w:rPr>
          <w:rFonts w:cs="Arial"/>
          <w:color w:val="auto"/>
        </w:rPr>
      </w:pPr>
      <w:r w:rsidRPr="00E31AD0">
        <w:rPr>
          <w:rFonts w:cs="Arial"/>
          <w:color w:val="auto"/>
        </w:rPr>
        <w:t xml:space="preserve">In M1, Block 1, Foundational Knowledge (Body Systems and Homeostasis), the students study a core case on prenatal genetic testing. They have a follow up </w:t>
      </w:r>
      <w:proofErr w:type="gramStart"/>
      <w:r w:rsidRPr="00E31AD0">
        <w:rPr>
          <w:rFonts w:cs="Arial"/>
          <w:color w:val="auto"/>
        </w:rPr>
        <w:t>session,  80</w:t>
      </w:r>
      <w:proofErr w:type="gramEnd"/>
      <w:r w:rsidRPr="00E31AD0">
        <w:rPr>
          <w:rFonts w:cs="Arial"/>
          <w:color w:val="auto"/>
        </w:rPr>
        <w:t xml:space="preserve"> minutes in length, that involves small group work in which the students appreciate the history of eugenics, ethical issues in prenatal genetic technologies, the historical (mis)treatment of people with Down syndrome, and changing medical terminology that has been used to describe people with intellectual disabilities. The session ends with a </w:t>
      </w:r>
      <w:r w:rsidRPr="00E31AD0">
        <w:rPr>
          <w:rFonts w:cs="Arial"/>
          <w:color w:val="auto"/>
        </w:rPr>
        <w:lastRenderedPageBreak/>
        <w:t>discussion of current trends and concepts around community integration and supported decision-making for people with IDD.</w:t>
      </w:r>
    </w:p>
    <w:p w14:paraId="44D9CCA3" w14:textId="77777777" w:rsidR="001B5A3A" w:rsidRPr="00E31AD0" w:rsidRDefault="001B5A3A" w:rsidP="00E31AD0">
      <w:pPr>
        <w:pStyle w:val="NCDBodyText"/>
        <w:suppressAutoHyphens/>
        <w:rPr>
          <w:rFonts w:cs="Arial"/>
          <w:color w:val="auto"/>
        </w:rPr>
      </w:pPr>
      <w:r w:rsidRPr="00E31AD0">
        <w:rPr>
          <w:rFonts w:cs="Arial"/>
          <w:color w:val="auto"/>
        </w:rPr>
        <w:t>In M1, Block 3, Musculoskeletal and Dermatology Systems, the students have a conceptual framework session called “Intro to Disability” (110 minutes: 50 minutes plenary, 50 minutes small groups). The goals are to develop a basic conceptual understanding of disability, including the various definitions and models; explore the stigma, bias, discrimination, and barriers people with disabilities face in health care settings; and learn some strategies for creating disability competent care services. In this session, the students interact with a panel of people with disabilities.</w:t>
      </w:r>
    </w:p>
    <w:p w14:paraId="728C6D9E" w14:textId="77777777" w:rsidR="001B5A3A" w:rsidRPr="00E31AD0" w:rsidRDefault="001B5A3A" w:rsidP="00E31AD0">
      <w:pPr>
        <w:pStyle w:val="NCDBodyText"/>
        <w:suppressAutoHyphens/>
        <w:rPr>
          <w:rFonts w:cs="Arial"/>
          <w:color w:val="auto"/>
        </w:rPr>
      </w:pPr>
      <w:r w:rsidRPr="00E31AD0">
        <w:rPr>
          <w:rFonts w:cs="Arial"/>
          <w:color w:val="auto"/>
        </w:rPr>
        <w:t>In M2, Block 6, Brain and Behavior, the students have a conceptual framework session on “Toward an Understanding of Personhood and the Moral Relevance of Disorders of Consciousness” (110 minutes: 50 minutes</w:t>
      </w:r>
      <w:r w:rsidRPr="00E31AD0" w:rsidDel="00A166C2">
        <w:rPr>
          <w:rFonts w:cs="Arial"/>
          <w:color w:val="auto"/>
        </w:rPr>
        <w:t xml:space="preserve"> </w:t>
      </w:r>
      <w:r w:rsidRPr="00E31AD0">
        <w:rPr>
          <w:rFonts w:cs="Arial"/>
          <w:color w:val="auto"/>
        </w:rPr>
        <w:t>plenary, 50 minutes</w:t>
      </w:r>
      <w:r w:rsidRPr="00E31AD0" w:rsidDel="00A166C2">
        <w:rPr>
          <w:rFonts w:cs="Arial"/>
          <w:color w:val="auto"/>
        </w:rPr>
        <w:t xml:space="preserve"> </w:t>
      </w:r>
      <w:r w:rsidRPr="00E31AD0">
        <w:rPr>
          <w:rFonts w:cs="Arial"/>
          <w:color w:val="auto"/>
        </w:rPr>
        <w:t>small groups). The students explore the ethical parameters of various types of brain injuries, classic legal cases involving brain injuries, and the various perspectives of people who live with brain injuries and their loved ones.</w:t>
      </w:r>
    </w:p>
    <w:p w14:paraId="10562F87" w14:textId="77777777" w:rsidR="001B5A3A" w:rsidRPr="00E31AD0" w:rsidRDefault="001B5A3A" w:rsidP="00E31AD0">
      <w:pPr>
        <w:pStyle w:val="NCDBodyText"/>
        <w:suppressAutoHyphens/>
        <w:rPr>
          <w:rFonts w:cs="Arial"/>
          <w:color w:val="auto"/>
        </w:rPr>
      </w:pPr>
      <w:r w:rsidRPr="00E31AD0">
        <w:rPr>
          <w:rFonts w:cs="Arial"/>
          <w:color w:val="auto"/>
        </w:rPr>
        <w:t>In M2: Transition to Clerkships (TTC), “The Basics: What you Need to Know to Work with Deaf and Hard of Hearing Patients.” (</w:t>
      </w:r>
      <w:proofErr w:type="gramStart"/>
      <w:r w:rsidRPr="00E31AD0">
        <w:rPr>
          <w:rFonts w:cs="Arial"/>
          <w:color w:val="auto"/>
        </w:rPr>
        <w:t>60 minute</w:t>
      </w:r>
      <w:proofErr w:type="gramEnd"/>
      <w:r w:rsidRPr="00E31AD0">
        <w:rPr>
          <w:rFonts w:cs="Arial"/>
          <w:color w:val="auto"/>
        </w:rPr>
        <w:t xml:space="preserve"> session)</w:t>
      </w:r>
      <w:r w:rsidRPr="00E31AD0">
        <w:rPr>
          <w:rStyle w:val="EndnoteReference"/>
          <w:rFonts w:cs="Arial"/>
          <w:color w:val="auto"/>
        </w:rPr>
        <w:endnoteReference w:id="57"/>
      </w:r>
    </w:p>
    <w:p w14:paraId="5569FB86" w14:textId="77777777" w:rsidR="001B5A3A" w:rsidRPr="00720DA6" w:rsidRDefault="001B5A3A" w:rsidP="00720DA6">
      <w:pPr>
        <w:pStyle w:val="Heading2"/>
      </w:pPr>
      <w:bookmarkStart w:id="78" w:name="_Toc242711234"/>
      <w:r w:rsidRPr="00720DA6">
        <w:t>Correlation Between Clinical Confidence and Changes in the Care Provided</w:t>
      </w:r>
      <w:bookmarkEnd w:id="78"/>
    </w:p>
    <w:p w14:paraId="5DE32755" w14:textId="5B227B80" w:rsidR="001B5A3A" w:rsidRPr="00E31AD0" w:rsidRDefault="00202DF7" w:rsidP="00E31AD0">
      <w:pPr>
        <w:pStyle w:val="NCDBodyText"/>
        <w:suppressAutoHyphens/>
        <w:rPr>
          <w:rFonts w:cs="Arial"/>
          <w:color w:val="auto"/>
        </w:rPr>
      </w:pPr>
      <w:r>
        <w:rPr>
          <w:rFonts w:cs="Arial"/>
          <w:color w:val="auto"/>
        </w:rPr>
        <w:t>Limited</w:t>
      </w:r>
      <w:r w:rsidR="001B5A3A" w:rsidRPr="00E31AD0">
        <w:rPr>
          <w:rFonts w:cs="Arial"/>
          <w:color w:val="auto"/>
        </w:rPr>
        <w:t xml:space="preserve"> clinical care and training are essential parts of avoiding provider non-engagement with patients with disabilities because limited clinical confidence in treating patients with disabilities may lead to provider avoidance, reliance on diagnostic assumptions, uneven patient interactions, and unnecessary variation in care delivery costs.</w:t>
      </w:r>
      <w:r w:rsidR="001B5A3A" w:rsidRPr="00E31AD0">
        <w:rPr>
          <w:rStyle w:val="EndnoteReference"/>
          <w:rFonts w:cs="Arial"/>
          <w:color w:val="auto"/>
        </w:rPr>
        <w:endnoteReference w:id="58"/>
      </w:r>
      <w:r w:rsidR="001B5A3A" w:rsidRPr="00E31AD0">
        <w:rPr>
          <w:rFonts w:cs="Arial"/>
          <w:color w:val="auto"/>
        </w:rPr>
        <w:t xml:space="preserve"> Disability competency training helps students feel more prepared to care for patients with disabilities and can thus foster more inclusive, patient-centered attitudes. As previously noted, research has found that many practicing physicians are unaware of their legal responsibilities to ensure accessible care for patients with disabilities, including the requirement that health care facilities bear the cost of necessary accommodations. As a result, patients with disabilities may be denied care or treated </w:t>
      </w:r>
      <w:r w:rsidR="001B5A3A" w:rsidRPr="00E31AD0">
        <w:rPr>
          <w:rFonts w:cs="Arial"/>
          <w:color w:val="auto"/>
        </w:rPr>
        <w:lastRenderedPageBreak/>
        <w:t xml:space="preserve">without appropriate accommodations, potentially compromising care quality and </w:t>
      </w:r>
      <w:r>
        <w:rPr>
          <w:rFonts w:cs="Arial"/>
          <w:color w:val="auto"/>
        </w:rPr>
        <w:t xml:space="preserve">further </w:t>
      </w:r>
      <w:r w:rsidR="001B5A3A" w:rsidRPr="00E31AD0">
        <w:rPr>
          <w:rFonts w:cs="Arial"/>
          <w:color w:val="auto"/>
        </w:rPr>
        <w:t>reducing clinicians’ confidence in their ability to deliver effective, high-value care.</w:t>
      </w:r>
      <w:r w:rsidR="001B5A3A" w:rsidRPr="00E31AD0">
        <w:rPr>
          <w:rStyle w:val="EndnoteReference"/>
          <w:rFonts w:cs="Arial"/>
          <w:color w:val="auto"/>
        </w:rPr>
        <w:endnoteReference w:id="59"/>
      </w:r>
      <w:r w:rsidR="001B5A3A" w:rsidRPr="00E31AD0">
        <w:rPr>
          <w:rFonts w:cs="Arial"/>
          <w:color w:val="auto"/>
        </w:rPr>
        <w:t xml:space="preserve"> It is clearly more beneficial that providers are equipped with the training they need, which in turn benefits the system of care as a whole.</w:t>
      </w:r>
    </w:p>
    <w:p w14:paraId="6E68D80B" w14:textId="77777777" w:rsidR="001B5A3A" w:rsidRPr="00E31AD0" w:rsidRDefault="001B5A3A" w:rsidP="00720DA6">
      <w:pPr>
        <w:pStyle w:val="Heading2"/>
      </w:pPr>
      <w:bookmarkStart w:id="79" w:name="_Toc242711235"/>
      <w:r w:rsidRPr="00E31AD0">
        <w:t>Cost-Effectiveness</w:t>
      </w:r>
      <w:bookmarkEnd w:id="79"/>
    </w:p>
    <w:p w14:paraId="47351AFA" w14:textId="77777777" w:rsidR="001B5A3A" w:rsidRPr="00E31AD0" w:rsidRDefault="001B5A3A" w:rsidP="00E31AD0">
      <w:pPr>
        <w:pStyle w:val="NCDBodyText"/>
        <w:suppressAutoHyphens/>
        <w:rPr>
          <w:rFonts w:cs="Arial"/>
          <w:color w:val="auto"/>
        </w:rPr>
      </w:pPr>
      <w:r w:rsidRPr="00E31AD0">
        <w:rPr>
          <w:rFonts w:cs="Arial"/>
          <w:color w:val="auto"/>
        </w:rPr>
        <w:t>Providing medical professionals with disability clinical care and competency training has the potential to improve preventive care and reduce medical errors and health care disparities.</w:t>
      </w:r>
      <w:r w:rsidRPr="00E31AD0">
        <w:rPr>
          <w:rStyle w:val="EndnoteReference"/>
          <w:rFonts w:cs="Arial"/>
          <w:color w:val="auto"/>
        </w:rPr>
        <w:endnoteReference w:id="60"/>
      </w:r>
      <w:r w:rsidRPr="00E31AD0">
        <w:rPr>
          <w:rFonts w:cs="Arial"/>
          <w:color w:val="auto"/>
        </w:rPr>
        <w:t xml:space="preserve"> Similarly, clinicians who are trained to communicate effectively with and appropriately assess patients with disabilities are better equipped to recognize health concerns promptly, facilitate earlier intervention, and reduce barriers that can contribute to preventable complications and the unnecessary emergency care. Routine preventive care and accessible screenings, for instance, can help reduce complications such as infections, pressure injuries, falls, and uncontrolled chronic diseases that often lead to hospitalization. Providing accessible screenings and preventive care is far less expensive than treating patients with advanced conditions after complications arise.</w:t>
      </w:r>
    </w:p>
    <w:p w14:paraId="5B58C1C2" w14:textId="77777777" w:rsidR="001B5A3A" w:rsidRPr="00E31AD0" w:rsidRDefault="001B5A3A" w:rsidP="00E31AD0">
      <w:pPr>
        <w:pStyle w:val="NCDBodyText"/>
        <w:suppressAutoHyphens/>
        <w:rPr>
          <w:rFonts w:cs="Arial"/>
          <w:color w:val="auto"/>
        </w:rPr>
      </w:pPr>
      <w:r w:rsidRPr="00E31AD0">
        <w:rPr>
          <w:rFonts w:cs="Arial"/>
          <w:color w:val="auto"/>
        </w:rPr>
        <w:t>Improved disability competency may also reduce unnecessary health care spending by limiting diagnostic errors and excessive testing. As previously noted, patients with disabilities are often affected by “diagnostic overshadowing,” the phenomenon in which health care providers mistakenly attribute new symptoms to an existing disability rather than exploring other possible medical causes. This can result in repeated appointments, delayed diagnoses, unnecessary procedures, and worsening health outcomes. Providers with disability-specific training are more capable of conducting accurate assessments and distinguishing disability-related characteristics and unrelated medical conditions, leading to more efficient care and fewer wasted resources.</w:t>
      </w:r>
    </w:p>
    <w:p w14:paraId="770E209E" w14:textId="0905FA1B" w:rsidR="001B5A3A" w:rsidRPr="00E31AD0" w:rsidRDefault="001B5A3A" w:rsidP="00E31AD0">
      <w:pPr>
        <w:pStyle w:val="NCDBodyText"/>
        <w:suppressAutoHyphens/>
        <w:rPr>
          <w:rFonts w:cs="Arial"/>
          <w:color w:val="auto"/>
        </w:rPr>
      </w:pPr>
      <w:r w:rsidRPr="00E31AD0">
        <w:rPr>
          <w:rFonts w:cs="Arial"/>
          <w:color w:val="auto"/>
        </w:rPr>
        <w:t xml:space="preserve">Additionally, disability competency training can strengthen patient-provider relationships by fostering respectful, accessible, and patient-centered care, which may increase patients’ trust in the health care system and encourage greater use of preventive and primary care services. Patients who feel respected, understood, </w:t>
      </w:r>
      <w:r w:rsidR="00F86D39" w:rsidRPr="00F86D39">
        <w:rPr>
          <w:rFonts w:cs="Arial"/>
          <w:color w:val="auto"/>
        </w:rPr>
        <w:t>properly treated</w:t>
      </w:r>
      <w:r w:rsidR="00463B4C">
        <w:rPr>
          <w:rFonts w:cs="Arial"/>
          <w:color w:val="auto"/>
        </w:rPr>
        <w:t>,</w:t>
      </w:r>
      <w:r w:rsidR="00F86D39">
        <w:rPr>
          <w:rFonts w:cs="Arial"/>
          <w:color w:val="auto"/>
        </w:rPr>
        <w:t xml:space="preserve"> </w:t>
      </w:r>
      <w:r w:rsidRPr="00E31AD0">
        <w:rPr>
          <w:rFonts w:cs="Arial"/>
          <w:color w:val="auto"/>
        </w:rPr>
        <w:t>and appropriately accommodated may be more likely to seek care promptly rather than delaying treatment until their conditions worsen and require emergency or hospital-</w:t>
      </w:r>
      <w:r w:rsidRPr="00E31AD0">
        <w:rPr>
          <w:rFonts w:cs="Arial"/>
          <w:color w:val="auto"/>
        </w:rPr>
        <w:lastRenderedPageBreak/>
        <w:t>based care. Because emergency department visits and inpatient hospitalizations are among the most expensive health care services, reducing avoidable use through timely, effective outpatient care has the potential to generate substantial cost savings across the health care system.</w:t>
      </w:r>
      <w:r w:rsidRPr="00E31AD0">
        <w:rPr>
          <w:rStyle w:val="EndnoteReference"/>
          <w:rFonts w:cs="Arial"/>
          <w:color w:val="auto"/>
        </w:rPr>
        <w:endnoteReference w:id="61"/>
      </w:r>
    </w:p>
    <w:p w14:paraId="740631E0" w14:textId="77777777" w:rsidR="001B5A3A" w:rsidRPr="00E31AD0" w:rsidRDefault="001B5A3A" w:rsidP="00E31AD0">
      <w:pPr>
        <w:pStyle w:val="NCDBodyText"/>
        <w:suppressAutoHyphens/>
        <w:rPr>
          <w:rFonts w:cs="Arial"/>
          <w:color w:val="auto"/>
        </w:rPr>
      </w:pPr>
      <w:r w:rsidRPr="00E31AD0">
        <w:rPr>
          <w:rFonts w:cs="Arial"/>
          <w:color w:val="auto"/>
        </w:rPr>
        <w:t xml:space="preserve">Although implementing disability competency training and improving accessibility may involve initial financial investment, these efforts can generate long-term economic benefits and most importantly, patient health. Reduced hospital readmissions, better chronic disease management, fewer preventable complications, and more efficient use of health </w:t>
      </w:r>
      <w:proofErr w:type="gramStart"/>
      <w:r w:rsidRPr="00E31AD0">
        <w:rPr>
          <w:rFonts w:cs="Arial"/>
          <w:color w:val="auto"/>
        </w:rPr>
        <w:t>care resources</w:t>
      </w:r>
      <w:proofErr w:type="gramEnd"/>
      <w:r w:rsidRPr="00E31AD0">
        <w:rPr>
          <w:rFonts w:cs="Arial"/>
          <w:color w:val="auto"/>
        </w:rPr>
        <w:t xml:space="preserve"> all contribute to lower health care expenditures. As disability prevalence continues to grow alongside an aging population, incorporating disability clinical care competency into medical education is both a public health necessity and a cost-effective health care policy strategy.</w:t>
      </w:r>
    </w:p>
    <w:p w14:paraId="2CB44E8B" w14:textId="6238070D" w:rsidR="001B5A3A" w:rsidRPr="00E31AD0" w:rsidRDefault="00C07E5C" w:rsidP="00720DA6">
      <w:pPr>
        <w:pStyle w:val="Heading2"/>
      </w:pPr>
      <w:bookmarkStart w:id="80" w:name="_Toc242711236"/>
      <w:r w:rsidRPr="00C07E5C">
        <w:t>Conclusion and Recommendations</w:t>
      </w:r>
      <w:bookmarkEnd w:id="80"/>
    </w:p>
    <w:p w14:paraId="1C360131" w14:textId="77777777" w:rsidR="001B5A3A" w:rsidRPr="00E31AD0" w:rsidRDefault="001B5A3A" w:rsidP="00720DA6">
      <w:pPr>
        <w:pStyle w:val="NCDBodyText"/>
      </w:pPr>
      <w:r w:rsidRPr="00E31AD0">
        <w:t>A person seeking medical care will only get good-quality care if the provider they are seeing is trained to treat them, which in turn increases the confidence the patient has in the care they are receiving and the willingness of the provider to see the patient. Considering that there are tens of millions of people with disabilities in the United States, including those who become disabled as they age, disability clinical care and competency training should not be merely an elective in countless medical schools as opposed to mandatory training nationwide. Furthermore, because people with disabilities certainly show up in the offices of every specialist, it stands to reason that disability clinical care and competency training should be incorporated into every residency program. Accordingly, NCD recommends the following:</w:t>
      </w:r>
    </w:p>
    <w:p w14:paraId="5ED86E58" w14:textId="77777777" w:rsidR="001B5A3A" w:rsidRPr="00E31AD0" w:rsidRDefault="001B5A3A" w:rsidP="00720DA6">
      <w:pPr>
        <w:pStyle w:val="Heading2"/>
      </w:pPr>
      <w:bookmarkStart w:id="81" w:name="_Toc242711237"/>
      <w:r w:rsidRPr="00E31AD0">
        <w:t>Recommendations</w:t>
      </w:r>
      <w:bookmarkEnd w:id="81"/>
    </w:p>
    <w:p w14:paraId="300E12FE" w14:textId="77777777" w:rsidR="001B5A3A" w:rsidRPr="00720DA6" w:rsidRDefault="001B5A3A" w:rsidP="00720DA6">
      <w:pPr>
        <w:pStyle w:val="Heading3"/>
        <w:rPr>
          <w:i/>
          <w:iCs/>
        </w:rPr>
      </w:pPr>
      <w:bookmarkStart w:id="82" w:name="_Toc242711238"/>
      <w:r w:rsidRPr="00720DA6">
        <w:rPr>
          <w:i/>
          <w:iCs/>
        </w:rPr>
        <w:t>Recommendations to the US Department of Health and Human Services</w:t>
      </w:r>
      <w:bookmarkEnd w:id="82"/>
    </w:p>
    <w:p w14:paraId="26FB58C4" w14:textId="12D0D139" w:rsidR="001B5A3A" w:rsidRPr="00E31AD0" w:rsidRDefault="001B5A3A">
      <w:pPr>
        <w:pStyle w:val="NCDBulletsLevel1"/>
        <w:numPr>
          <w:ilvl w:val="0"/>
          <w:numId w:val="24"/>
        </w:numPr>
      </w:pPr>
      <w:r w:rsidRPr="00E31AD0">
        <w:t xml:space="preserve"> NCD recommends that HSS revise Section 504 regulations to make disability clinical care and competency training in medical care professional training a specifically expressed requirement.</w:t>
      </w:r>
    </w:p>
    <w:p w14:paraId="13891D6A" w14:textId="64B1F23E" w:rsidR="001B5A3A" w:rsidRPr="00E31AD0" w:rsidRDefault="001B5A3A">
      <w:pPr>
        <w:pStyle w:val="NCDBulletsLevel1"/>
        <w:numPr>
          <w:ilvl w:val="0"/>
          <w:numId w:val="24"/>
        </w:numPr>
      </w:pPr>
      <w:r w:rsidRPr="00E31AD0">
        <w:lastRenderedPageBreak/>
        <w:t>NCD further recommends that HHS establish guidance to this end.</w:t>
      </w:r>
    </w:p>
    <w:p w14:paraId="0E3A268E" w14:textId="2A594B89" w:rsidR="001B5A3A" w:rsidRPr="00E31AD0" w:rsidRDefault="001B5A3A">
      <w:pPr>
        <w:pStyle w:val="NCDBulletsLevel1"/>
        <w:numPr>
          <w:ilvl w:val="0"/>
          <w:numId w:val="24"/>
        </w:numPr>
      </w:pPr>
      <w:r w:rsidRPr="00E31AD0">
        <w:t>NCD recommends the creation and dissemination of model comprehensive disability clinical care competency curricula by HHS that encompasses NCD’s Model Framework.</w:t>
      </w:r>
    </w:p>
    <w:p w14:paraId="67E5CE28" w14:textId="77777777" w:rsidR="001B5A3A" w:rsidRPr="00D95824" w:rsidRDefault="001B5A3A" w:rsidP="00D95824">
      <w:pPr>
        <w:pStyle w:val="Heading3"/>
        <w:rPr>
          <w:i/>
          <w:iCs/>
        </w:rPr>
      </w:pPr>
      <w:bookmarkStart w:id="83" w:name="_Toc242711239"/>
      <w:r w:rsidRPr="00D95824">
        <w:rPr>
          <w:i/>
          <w:iCs/>
        </w:rPr>
        <w:t>Recommendation to State Lawmakers</w:t>
      </w:r>
      <w:bookmarkEnd w:id="83"/>
    </w:p>
    <w:p w14:paraId="7622B3B0" w14:textId="67A5C076" w:rsidR="001B5A3A" w:rsidRPr="00E31AD0" w:rsidRDefault="001B5A3A">
      <w:pPr>
        <w:pStyle w:val="NCDBulletsLevel1"/>
        <w:numPr>
          <w:ilvl w:val="0"/>
          <w:numId w:val="24"/>
        </w:numPr>
      </w:pPr>
      <w:r w:rsidRPr="00E31AD0">
        <w:t>NCD recommends that states pass laws mandating disability clinical care and competency training of medical professionals.</w:t>
      </w:r>
    </w:p>
    <w:p w14:paraId="2C545B01" w14:textId="77777777" w:rsidR="001B5A3A" w:rsidRPr="00D95824" w:rsidRDefault="001B5A3A" w:rsidP="00D95824">
      <w:pPr>
        <w:pStyle w:val="Heading3"/>
        <w:rPr>
          <w:i/>
          <w:iCs/>
        </w:rPr>
      </w:pPr>
      <w:bookmarkStart w:id="84" w:name="_Toc242711240"/>
      <w:r w:rsidRPr="00D95824">
        <w:rPr>
          <w:i/>
          <w:iCs/>
        </w:rPr>
        <w:t>Recommendation to the Liaison Committee on Medical Education</w:t>
      </w:r>
      <w:bookmarkEnd w:id="84"/>
    </w:p>
    <w:p w14:paraId="3B33F6C7" w14:textId="1CA2A5A1" w:rsidR="001B5A3A" w:rsidRPr="00E31AD0" w:rsidRDefault="001B5A3A">
      <w:pPr>
        <w:pStyle w:val="NCDBulletsLevel1"/>
        <w:numPr>
          <w:ilvl w:val="0"/>
          <w:numId w:val="24"/>
        </w:numPr>
      </w:pPr>
      <w:r w:rsidRPr="00E31AD0">
        <w:t xml:space="preserve">NCD recommends that the LCME establish a disability clinical care and competency standard in its </w:t>
      </w:r>
      <w:r w:rsidRPr="00E31AD0">
        <w:rPr>
          <w:i/>
          <w:iCs/>
        </w:rPr>
        <w:t>Standards for Accreditation of Medical Education Programs Leading to the MD Degree</w:t>
      </w:r>
      <w:r w:rsidRPr="00E31AD0">
        <w:t>.</w:t>
      </w:r>
    </w:p>
    <w:p w14:paraId="538EF9B9" w14:textId="77777777" w:rsidR="001B5A3A" w:rsidRPr="00D95824" w:rsidRDefault="001B5A3A" w:rsidP="00D95824">
      <w:pPr>
        <w:pStyle w:val="Heading3"/>
        <w:rPr>
          <w:i/>
          <w:iCs/>
        </w:rPr>
      </w:pPr>
      <w:bookmarkStart w:id="85" w:name="_Toc242711241"/>
      <w:r w:rsidRPr="00D95824">
        <w:rPr>
          <w:i/>
          <w:iCs/>
        </w:rPr>
        <w:t>Recommendation to the Association of American Medical Colleges</w:t>
      </w:r>
      <w:bookmarkEnd w:id="85"/>
    </w:p>
    <w:p w14:paraId="2F0F0859" w14:textId="3D0C7933" w:rsidR="001B5A3A" w:rsidRPr="00E31AD0" w:rsidRDefault="001B5A3A">
      <w:pPr>
        <w:pStyle w:val="NCDBulletsLevel1"/>
        <w:numPr>
          <w:ilvl w:val="0"/>
          <w:numId w:val="24"/>
        </w:numPr>
      </w:pPr>
      <w:r w:rsidRPr="00E31AD0">
        <w:t xml:space="preserve">NCD recommends that the AAMC recommend that the LCME and the ACGME develop </w:t>
      </w:r>
      <w:proofErr w:type="gramStart"/>
      <w:r w:rsidRPr="00E31AD0">
        <w:t>disability clinical</w:t>
      </w:r>
      <w:proofErr w:type="gramEnd"/>
      <w:r w:rsidRPr="00E31AD0">
        <w:t xml:space="preserve"> care and competency training standards.</w:t>
      </w:r>
    </w:p>
    <w:p w14:paraId="6EC00583" w14:textId="77777777" w:rsidR="001B5A3A" w:rsidRPr="00D95824" w:rsidRDefault="001B5A3A" w:rsidP="00D95824">
      <w:pPr>
        <w:pStyle w:val="Heading3"/>
        <w:rPr>
          <w:i/>
          <w:iCs/>
        </w:rPr>
      </w:pPr>
      <w:bookmarkStart w:id="86" w:name="_Toc242711242"/>
      <w:r w:rsidRPr="00D95824">
        <w:rPr>
          <w:i/>
          <w:iCs/>
        </w:rPr>
        <w:t>Recommendation to the Association of Graduate Medical Education</w:t>
      </w:r>
      <w:bookmarkEnd w:id="86"/>
    </w:p>
    <w:p w14:paraId="57A061DB" w14:textId="443216D1" w:rsidR="001B5A3A" w:rsidRPr="00E31AD0" w:rsidRDefault="001B5A3A">
      <w:pPr>
        <w:pStyle w:val="NCDBulletsLevel1"/>
        <w:numPr>
          <w:ilvl w:val="0"/>
          <w:numId w:val="24"/>
        </w:numPr>
      </w:pPr>
      <w:r w:rsidRPr="00E31AD0">
        <w:t>NCD recommends that the ACGME establish a standard requiring graduate medical programs to train physicians in how to care for patients with disabilities.</w:t>
      </w:r>
    </w:p>
    <w:p w14:paraId="3ED704B9" w14:textId="77777777" w:rsidR="001B5A3A" w:rsidRPr="00D95824" w:rsidRDefault="001B5A3A" w:rsidP="00D95824">
      <w:pPr>
        <w:pStyle w:val="Heading3"/>
        <w:rPr>
          <w:i/>
          <w:iCs/>
        </w:rPr>
      </w:pPr>
      <w:bookmarkStart w:id="87" w:name="_Toc242711243"/>
      <w:r w:rsidRPr="00D95824">
        <w:rPr>
          <w:i/>
          <w:iCs/>
        </w:rPr>
        <w:t>Recommendation to the Commission on Osteopathic College Accreditation</w:t>
      </w:r>
      <w:bookmarkEnd w:id="87"/>
    </w:p>
    <w:p w14:paraId="59DCF1D7" w14:textId="68C7826C" w:rsidR="001B5A3A" w:rsidRPr="00E31AD0" w:rsidRDefault="001B5A3A">
      <w:pPr>
        <w:pStyle w:val="NCDBulletsLevel1"/>
        <w:numPr>
          <w:ilvl w:val="0"/>
          <w:numId w:val="24"/>
        </w:numPr>
      </w:pPr>
      <w:r w:rsidRPr="00E31AD0">
        <w:t xml:space="preserve">NCD recommends that the COCA establish a disability clinical care and competency standard in its </w:t>
      </w:r>
      <w:r w:rsidRPr="00E31AD0">
        <w:rPr>
          <w:i/>
          <w:iCs/>
        </w:rPr>
        <w:t>Continuing Accreditation Standards</w:t>
      </w:r>
      <w:r w:rsidRPr="00E31AD0">
        <w:t>.</w:t>
      </w:r>
    </w:p>
    <w:p w14:paraId="0C36ADA2" w14:textId="77777777" w:rsidR="001B5A3A" w:rsidRPr="00D95824" w:rsidRDefault="001B5A3A" w:rsidP="00D95824">
      <w:pPr>
        <w:pStyle w:val="Heading3"/>
        <w:rPr>
          <w:i/>
          <w:iCs/>
        </w:rPr>
      </w:pPr>
      <w:bookmarkStart w:id="88" w:name="_Toc242711244"/>
      <w:r w:rsidRPr="00D95824">
        <w:rPr>
          <w:i/>
          <w:iCs/>
        </w:rPr>
        <w:t>Recommendation to the Joint Commission (on Hospital Accreditation)</w:t>
      </w:r>
      <w:bookmarkEnd w:id="88"/>
    </w:p>
    <w:p w14:paraId="28AFE23D" w14:textId="3062DBEF" w:rsidR="001B5A3A" w:rsidRPr="00E31AD0" w:rsidRDefault="001B5A3A">
      <w:pPr>
        <w:pStyle w:val="NCDBulletsLevel1"/>
        <w:numPr>
          <w:ilvl w:val="0"/>
          <w:numId w:val="24"/>
        </w:numPr>
      </w:pPr>
      <w:r w:rsidRPr="00E31AD0">
        <w:t>NCD recommends that the JC establish a standard whereby accredited hospitals are required to train professional medical staff in how to care for patients with disabilities.</w:t>
      </w:r>
    </w:p>
    <w:p w14:paraId="7E871573" w14:textId="77777777" w:rsidR="001B5A3A" w:rsidRPr="00D95824" w:rsidRDefault="001B5A3A" w:rsidP="00D95824">
      <w:pPr>
        <w:pStyle w:val="Heading3"/>
        <w:rPr>
          <w:i/>
          <w:iCs/>
        </w:rPr>
      </w:pPr>
      <w:bookmarkStart w:id="89" w:name="_Toc242711245"/>
      <w:r w:rsidRPr="00D95824">
        <w:rPr>
          <w:i/>
          <w:iCs/>
        </w:rPr>
        <w:lastRenderedPageBreak/>
        <w:t>Recommendation Concerning Medical Professional State Licensing Examinations</w:t>
      </w:r>
      <w:bookmarkEnd w:id="89"/>
    </w:p>
    <w:p w14:paraId="1F4ECE12" w14:textId="1D142EEF" w:rsidR="001B5A3A" w:rsidRPr="00E31AD0" w:rsidRDefault="001B5A3A">
      <w:pPr>
        <w:pStyle w:val="NCDBulletsLevel1"/>
        <w:numPr>
          <w:ilvl w:val="0"/>
          <w:numId w:val="24"/>
        </w:numPr>
      </w:pPr>
      <w:bookmarkStart w:id="90" w:name="_Toc493596727"/>
      <w:r w:rsidRPr="00E31AD0">
        <w:t>NCD recommends that medical professional state licensing examinations be revised to reflect robust testing of each of NCD’s Core Competencies, which encompass the six Core Competencies on Disability created by the Alliance for Disability in Health Care Education.</w:t>
      </w:r>
    </w:p>
    <w:tbl>
      <w:tblPr>
        <w:tblStyle w:val="TableGrid"/>
        <w:tblW w:w="0" w:type="auto"/>
        <w:tblLook w:val="04A0" w:firstRow="1" w:lastRow="0" w:firstColumn="1" w:lastColumn="0" w:noHBand="0" w:noVBand="1"/>
      </w:tblPr>
      <w:tblGrid>
        <w:gridCol w:w="9350"/>
      </w:tblGrid>
      <w:tr w:rsidR="001B5A3A" w:rsidRPr="00E31AD0" w14:paraId="65EA4C26" w14:textId="77777777" w:rsidTr="000040B7">
        <w:tc>
          <w:tcPr>
            <w:tcW w:w="9350" w:type="dxa"/>
          </w:tcPr>
          <w:p w14:paraId="316E0CB5" w14:textId="77777777" w:rsidR="001B5A3A" w:rsidRPr="00E31AD0" w:rsidRDefault="001B5A3A" w:rsidP="00E31AD0">
            <w:pPr>
              <w:suppressAutoHyphens/>
              <w:spacing w:before="100" w:after="100" w:line="360" w:lineRule="auto"/>
              <w:rPr>
                <w:rFonts w:cs="Arial"/>
              </w:rPr>
            </w:pPr>
            <w:r w:rsidRPr="00E31AD0">
              <w:rPr>
                <w:rFonts w:cs="Arial"/>
              </w:rPr>
              <w:t xml:space="preserve">NCD acknowledges the following individuals and thanks them for their input in relation to this policy brief: Susan M. Havercamp, PhD; Rick Rader, MD; Dorothy W. Tolchin, MD, </w:t>
            </w:r>
            <w:proofErr w:type="spellStart"/>
            <w:r w:rsidRPr="00E31AD0">
              <w:rPr>
                <w:rFonts w:cs="Arial"/>
              </w:rPr>
              <w:t>EdM</w:t>
            </w:r>
            <w:proofErr w:type="spellEnd"/>
            <w:r w:rsidRPr="00E31AD0">
              <w:rPr>
                <w:rFonts w:cs="Arial"/>
              </w:rPr>
              <w:t>; Kristi L. Kirschner, MD; and Suzanne C. Smeltzer, EdD, RN.</w:t>
            </w:r>
          </w:p>
        </w:tc>
      </w:tr>
    </w:tbl>
    <w:p w14:paraId="68784A2F" w14:textId="77777777" w:rsidR="001B5A3A" w:rsidRPr="00E31AD0" w:rsidRDefault="001B5A3A" w:rsidP="00E31AD0">
      <w:pPr>
        <w:suppressAutoHyphens/>
        <w:spacing w:line="360" w:lineRule="auto"/>
        <w:rPr>
          <w:rFonts w:eastAsia="Times New Roman" w:cs="Arial"/>
          <w:b/>
        </w:rPr>
      </w:pPr>
      <w:r w:rsidRPr="00E31AD0">
        <w:rPr>
          <w:rFonts w:cs="Arial"/>
        </w:rPr>
        <w:br w:type="page"/>
      </w:r>
    </w:p>
    <w:p w14:paraId="69C2DAFE" w14:textId="77777777" w:rsidR="001B5A3A" w:rsidRPr="00E31AD0" w:rsidRDefault="001B5A3A" w:rsidP="000040B7">
      <w:pPr>
        <w:pStyle w:val="Heading1"/>
      </w:pPr>
      <w:bookmarkStart w:id="91" w:name="_Toc242711246"/>
      <w:r w:rsidRPr="00E31AD0">
        <w:lastRenderedPageBreak/>
        <w:t>Endnotes</w:t>
      </w:r>
      <w:bookmarkEnd w:id="90"/>
      <w:bookmarkEnd w:id="91"/>
    </w:p>
    <w:sectPr w:rsidR="001B5A3A" w:rsidRPr="00E31AD0" w:rsidSect="00FA45AE">
      <w:footerReference w:type="default" r:id="rId8"/>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AD3D0" w14:textId="77777777" w:rsidR="00D4427B" w:rsidRPr="00BF1828" w:rsidRDefault="00D4427B" w:rsidP="00ED6DEE">
      <w:pPr>
        <w:spacing w:after="0" w:line="240" w:lineRule="auto"/>
      </w:pPr>
      <w:r w:rsidRPr="00BF1828">
        <w:separator/>
      </w:r>
    </w:p>
  </w:endnote>
  <w:endnote w:type="continuationSeparator" w:id="0">
    <w:p w14:paraId="74C97393" w14:textId="77777777" w:rsidR="00D4427B" w:rsidRPr="00BF1828" w:rsidRDefault="00D4427B" w:rsidP="00ED6DEE">
      <w:pPr>
        <w:spacing w:after="0" w:line="240" w:lineRule="auto"/>
      </w:pPr>
      <w:r w:rsidRPr="00BF1828">
        <w:continuationSeparator/>
      </w:r>
    </w:p>
  </w:endnote>
  <w:endnote w:id="1">
    <w:p w14:paraId="72DCF36B" w14:textId="77777777" w:rsidR="00CA3D2C" w:rsidRPr="00194021" w:rsidRDefault="00CA3D2C" w:rsidP="00CA3D2C">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Lisa I. Iezzoni, Sowmya R. Rao, Julie Ressalam, Dragana Bolcic-Jankovic, Nicole D. Agaronnik, Karen Donelan, Tara Lagu, and Eric G. Campbell, “Physicians’ Perceptions of People with Disability and Their Health Care,” </w:t>
      </w:r>
      <w:r w:rsidRPr="00194021">
        <w:rPr>
          <w:rFonts w:asciiTheme="minorBidi" w:hAnsiTheme="minorBidi" w:cstheme="minorBidi"/>
          <w:i/>
          <w:iCs/>
          <w:sz w:val="24"/>
          <w:szCs w:val="24"/>
        </w:rPr>
        <w:t>Health Affairs</w:t>
      </w:r>
      <w:r w:rsidRPr="00194021">
        <w:rPr>
          <w:rFonts w:asciiTheme="minorBidi" w:hAnsiTheme="minorBidi" w:cstheme="minorBidi"/>
          <w:sz w:val="24"/>
          <w:szCs w:val="24"/>
        </w:rPr>
        <w:t xml:space="preserve"> 40, no. 2 (2021): 297–306, </w:t>
      </w:r>
      <w:hyperlink r:id="rId1" w:tgtFrame="_new" w:tooltip="https://doi.org/10.1377/hlthaff.2020.01452" w:history="1">
        <w:r w:rsidRPr="00194021">
          <w:rPr>
            <w:rStyle w:val="Hyperlink"/>
            <w:rFonts w:asciiTheme="minorBidi" w:hAnsiTheme="minorBidi" w:cstheme="minorBidi"/>
            <w:color w:val="0000FF"/>
            <w:sz w:val="24"/>
            <w:szCs w:val="24"/>
          </w:rPr>
          <w:t>https://doi.org/10.1377/hlthaff.2020.01452</w:t>
        </w:r>
      </w:hyperlink>
      <w:r w:rsidRPr="00194021">
        <w:rPr>
          <w:rFonts w:asciiTheme="minorBidi" w:hAnsiTheme="minorBidi" w:cstheme="minorBidi"/>
          <w:sz w:val="24"/>
          <w:szCs w:val="24"/>
        </w:rPr>
        <w:t>.</w:t>
      </w:r>
    </w:p>
  </w:endnote>
  <w:endnote w:id="2">
    <w:p w14:paraId="7123E496" w14:textId="7CB8745E"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Advisory Council on Minority Health and Health Disparities, </w:t>
      </w:r>
      <w:r w:rsidRPr="00194021">
        <w:rPr>
          <w:rFonts w:asciiTheme="minorBidi" w:hAnsiTheme="minorBidi" w:cstheme="minorBidi"/>
          <w:i/>
          <w:iCs/>
          <w:sz w:val="24"/>
          <w:szCs w:val="24"/>
        </w:rPr>
        <w:t>Health Disparities and People with Disabilities: Report of the Working Group on Health Disparities and People with Disabilities</w:t>
      </w:r>
      <w:r w:rsidRPr="00194021">
        <w:rPr>
          <w:rFonts w:asciiTheme="minorBidi" w:hAnsiTheme="minorBidi" w:cstheme="minorBidi"/>
          <w:sz w:val="24"/>
          <w:szCs w:val="24"/>
        </w:rPr>
        <w:t xml:space="preserve"> (Bethesda, MD: National Institute on Minority Health and Health Disparities, National Institutes of Health, 2023). </w:t>
      </w:r>
      <w:hyperlink r:id="rId2" w:tooltip="https://www.nimhd.nih.gov/sites/default/files/2024-09/nacmhd_workGrpOnHealthDisparitiesAndPeopleWithDisabilities_report_2023sept_0.pdf?utm_source=chatgpt.com" w:history="1">
        <w:r w:rsidRPr="00FE6554">
          <w:rPr>
            <w:rStyle w:val="Hyperlink"/>
            <w:rFonts w:asciiTheme="minorBidi" w:hAnsiTheme="minorBidi" w:cstheme="minorBidi"/>
            <w:color w:val="0000FF"/>
            <w:sz w:val="24"/>
            <w:szCs w:val="24"/>
          </w:rPr>
          <w:t>https://www.nimhd.nih.gov/sites/default/files/2024-09</w:t>
        </w:r>
      </w:hyperlink>
      <w:hyperlink r:id="rId3" w:tooltip="https://www.nimhd.nih.gov/sites/default/files/2024-09/nacmhd_workGrpOnHealthDisparitiesAndPeopleWithDisabilities_report_2023sept_0.pdf?utm_source=chatgpt.com" w:history="1">
        <w:r w:rsidRPr="00FE6554">
          <w:rPr>
            <w:rStyle w:val="Hyperlink"/>
            <w:rFonts w:asciiTheme="minorBidi" w:hAnsiTheme="minorBidi" w:cstheme="minorBidi"/>
            <w:color w:val="0000FF"/>
            <w:sz w:val="24"/>
            <w:szCs w:val="24"/>
          </w:rPr>
          <w:t>/nacmhd_workGrpOnHealthDisparitiesAndPeopleWithDisabilities_report_2023sept_0.pdf?utm_source=chatgpt.com</w:t>
        </w:r>
      </w:hyperlink>
      <w:r w:rsidRPr="00194021">
        <w:rPr>
          <w:rFonts w:asciiTheme="minorBidi" w:hAnsiTheme="minorBidi" w:cstheme="minorBidi"/>
          <w:sz w:val="24"/>
          <w:szCs w:val="24"/>
        </w:rPr>
        <w:t>.</w:t>
      </w:r>
    </w:p>
  </w:endnote>
  <w:endnote w:id="3">
    <w:p w14:paraId="09053081"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w:t>
      </w:r>
      <w:r w:rsidRPr="00194021">
        <w:rPr>
          <w:rFonts w:asciiTheme="minorBidi" w:hAnsiTheme="minorBidi" w:cstheme="minorBidi"/>
          <w:sz w:val="24"/>
          <w:szCs w:val="24"/>
        </w:rPr>
        <w:t>Iezzoni et al., “Physicians’ Perceptions.”</w:t>
      </w:r>
    </w:p>
  </w:endnote>
  <w:endnote w:id="4">
    <w:p w14:paraId="27226875" w14:textId="613A514A"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Campbell, Lucy C., and Leslie Rydberg, “Disability Competencies in the Licensure Examinations of Health Professions,” </w:t>
      </w:r>
      <w:r w:rsidRPr="00194021">
        <w:rPr>
          <w:rFonts w:asciiTheme="minorBidi" w:hAnsiTheme="minorBidi" w:cstheme="minorBidi"/>
          <w:i/>
          <w:iCs/>
          <w:sz w:val="24"/>
          <w:szCs w:val="24"/>
        </w:rPr>
        <w:t>Disability and Health</w:t>
      </w:r>
      <w:r w:rsidRPr="00194021">
        <w:rPr>
          <w:rFonts w:asciiTheme="minorBidi" w:hAnsiTheme="minorBidi" w:cstheme="minorBidi"/>
          <w:sz w:val="24"/>
          <w:szCs w:val="24"/>
        </w:rPr>
        <w:t xml:space="preserve"> 19, no. 3 (2026): 102021. </w:t>
      </w:r>
      <w:hyperlink r:id="rId4" w:tgtFrame="_new" w:tooltip="https://doi.org/10.1016/j.dhjo.2025.102021" w:history="1">
        <w:r w:rsidRPr="00194021">
          <w:rPr>
            <w:rStyle w:val="Hyperlink"/>
            <w:rFonts w:asciiTheme="minorBidi" w:hAnsiTheme="minorBidi" w:cstheme="minorBidi"/>
            <w:color w:val="0000FF"/>
            <w:sz w:val="24"/>
            <w:szCs w:val="24"/>
          </w:rPr>
          <w:t>https://doi.org/10.1016/j.dhjo.2025.102021</w:t>
        </w:r>
      </w:hyperlink>
      <w:r w:rsidRPr="00194021">
        <w:rPr>
          <w:rFonts w:asciiTheme="minorBidi" w:hAnsiTheme="minorBidi" w:cstheme="minorBidi"/>
          <w:sz w:val="24"/>
          <w:szCs w:val="24"/>
        </w:rPr>
        <w:t>.</w:t>
      </w:r>
    </w:p>
  </w:endnote>
  <w:endnote w:id="5">
    <w:p w14:paraId="6E0E0EB1"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Id.</w:t>
      </w:r>
    </w:p>
  </w:endnote>
  <w:endnote w:id="6">
    <w:p w14:paraId="2C56935D" w14:textId="26876536"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Institutes of Health, “NIH Designates People with Disabilities as a Population with Health Disparities,” news release, September 26, 2023, </w:t>
      </w:r>
      <w:hyperlink r:id="rId5" w:tgtFrame="_new" w:tooltip="https://www.nih.gov/news-events/news-releases/nih-designates-people-disabilities-population-health-disparities" w:history="1">
        <w:r w:rsidRPr="00194021">
          <w:rPr>
            <w:rStyle w:val="Hyperlink"/>
            <w:rFonts w:asciiTheme="minorBidi" w:hAnsiTheme="minorBidi" w:cstheme="minorBidi"/>
            <w:color w:val="0000FF"/>
            <w:sz w:val="24"/>
            <w:szCs w:val="24"/>
          </w:rPr>
          <w:t>https://www.nih.gov/news-events/news-releases/nih-designates-people-disabilities-population-health-disparities</w:t>
        </w:r>
      </w:hyperlink>
      <w:r w:rsidRPr="00194021">
        <w:rPr>
          <w:rFonts w:asciiTheme="minorBidi" w:hAnsiTheme="minorBidi" w:cstheme="minorBidi"/>
          <w:sz w:val="24"/>
          <w:szCs w:val="24"/>
        </w:rPr>
        <w:t>.</w:t>
      </w:r>
    </w:p>
  </w:endnote>
  <w:endnote w:id="7">
    <w:p w14:paraId="10602264" w14:textId="25884ACA"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w:t>
      </w:r>
      <w:r w:rsidRPr="00194021">
        <w:rPr>
          <w:rFonts w:asciiTheme="minorBidi" w:hAnsiTheme="minorBidi" w:cstheme="minorBidi"/>
          <w:i/>
          <w:iCs/>
          <w:sz w:val="24"/>
          <w:szCs w:val="24"/>
        </w:rPr>
        <w:t>Framework to End Health Disparities of People with Disabilities</w:t>
      </w:r>
      <w:r w:rsidRPr="00194021">
        <w:rPr>
          <w:rFonts w:asciiTheme="minorBidi" w:hAnsiTheme="minorBidi" w:cstheme="minorBidi"/>
          <w:sz w:val="24"/>
          <w:szCs w:val="24"/>
        </w:rPr>
        <w:t xml:space="preserve"> (Washington, DC: National Council on Disability, 2025), </w:t>
      </w:r>
      <w:hyperlink r:id="rId6" w:tgtFrame="_new" w:tooltip="https://www.ncd.gov/report/framework-to-end-health-disparities-of-people-with-disabilities" w:history="1">
        <w:r w:rsidRPr="00194021">
          <w:rPr>
            <w:rStyle w:val="Hyperlink"/>
            <w:rFonts w:asciiTheme="minorBidi" w:hAnsiTheme="minorBidi" w:cstheme="minorBidi"/>
            <w:color w:val="0000FF"/>
            <w:sz w:val="24"/>
            <w:szCs w:val="24"/>
          </w:rPr>
          <w:t>https://www.ncd.gov/report/framework-to-end-health-disparities-of-people-with-disabilities</w:t>
        </w:r>
      </w:hyperlink>
      <w:r w:rsidRPr="00194021">
        <w:rPr>
          <w:rFonts w:asciiTheme="minorBidi" w:hAnsiTheme="minorBidi" w:cstheme="minorBidi"/>
          <w:sz w:val="24"/>
          <w:szCs w:val="24"/>
        </w:rPr>
        <w:t>.</w:t>
      </w:r>
    </w:p>
  </w:endnote>
  <w:endnote w:id="8">
    <w:p w14:paraId="5314145E" w14:textId="5B932768"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“Request for Information; Disability Clinical Care,” </w:t>
      </w:r>
      <w:r w:rsidRPr="00194021">
        <w:rPr>
          <w:rFonts w:asciiTheme="minorBidi" w:hAnsiTheme="minorBidi" w:cstheme="minorBidi"/>
          <w:i/>
          <w:iCs/>
          <w:sz w:val="24"/>
          <w:szCs w:val="24"/>
        </w:rPr>
        <w:t>Federal Register</w:t>
      </w:r>
      <w:r w:rsidRPr="00194021">
        <w:rPr>
          <w:rFonts w:asciiTheme="minorBidi" w:hAnsiTheme="minorBidi" w:cstheme="minorBidi"/>
          <w:sz w:val="24"/>
          <w:szCs w:val="24"/>
        </w:rPr>
        <w:t xml:space="preserve"> 90, no. 229 (December 1, 2025), </w:t>
      </w:r>
      <w:hyperlink r:id="rId7" w:tgtFrame="_new" w:tooltip="https://www.federalregister.gov/documents/2025/12/01/2025-21585/request-for-information-disability-clinical-care" w:history="1">
        <w:r w:rsidRPr="00194021">
          <w:rPr>
            <w:rStyle w:val="Hyperlink"/>
            <w:rFonts w:asciiTheme="minorBidi" w:hAnsiTheme="minorBidi" w:cstheme="minorBidi"/>
            <w:color w:val="0000FF"/>
            <w:sz w:val="24"/>
            <w:szCs w:val="24"/>
          </w:rPr>
          <w:t>https://www.federalregister.gov/documents/2025/12/01/2025-21585/request-for-information-disability-clinical-care</w:t>
        </w:r>
      </w:hyperlink>
      <w:r w:rsidRPr="00194021">
        <w:rPr>
          <w:rFonts w:asciiTheme="minorBidi" w:hAnsiTheme="minorBidi" w:cstheme="minorBidi"/>
          <w:sz w:val="24"/>
          <w:szCs w:val="24"/>
        </w:rPr>
        <w:t>.</w:t>
      </w:r>
    </w:p>
  </w:endnote>
  <w:endnote w:id="9">
    <w:p w14:paraId="445E4346" w14:textId="6915F72E"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Lagu, Tara, Carol Haywood, Kimberly Reimold, Christene DeJong, Robin Walker Sterling, and Lisa I. Iezzoni, “‘I Am Not the Doctor for You’: Physicians’ Attitudes About Caring for People with Disabilities,” </w:t>
      </w:r>
      <w:r w:rsidRPr="00194021">
        <w:rPr>
          <w:rFonts w:asciiTheme="minorBidi" w:hAnsiTheme="minorBidi" w:cstheme="minorBidi"/>
          <w:i/>
          <w:iCs/>
          <w:sz w:val="24"/>
          <w:szCs w:val="24"/>
        </w:rPr>
        <w:t>Health Affairs</w:t>
      </w:r>
      <w:r w:rsidRPr="00194021">
        <w:rPr>
          <w:rFonts w:asciiTheme="minorBidi" w:hAnsiTheme="minorBidi" w:cstheme="minorBidi"/>
          <w:sz w:val="24"/>
          <w:szCs w:val="24"/>
        </w:rPr>
        <w:t xml:space="preserve"> 41, no. 10 (October 2022): 1387–95. </w:t>
      </w:r>
      <w:hyperlink r:id="rId8" w:tooltip="https://doi.org/10.1377/hlthaff.2022.00475" w:history="1">
        <w:r w:rsidRPr="00194021">
          <w:rPr>
            <w:rStyle w:val="Hyperlink"/>
            <w:rFonts w:asciiTheme="minorBidi" w:hAnsiTheme="minorBidi" w:cstheme="minorBidi"/>
            <w:color w:val="0000FF"/>
            <w:sz w:val="24"/>
            <w:szCs w:val="24"/>
          </w:rPr>
          <w:t>https://doi.org/10.1377/hlthaff.2022.00475</w:t>
        </w:r>
      </w:hyperlink>
      <w:r w:rsidRPr="00194021">
        <w:rPr>
          <w:rFonts w:asciiTheme="minorBidi" w:hAnsiTheme="minorBidi" w:cstheme="minorBidi"/>
          <w:sz w:val="24"/>
          <w:szCs w:val="24"/>
        </w:rPr>
        <w:t>.</w:t>
      </w:r>
    </w:p>
  </w:endnote>
  <w:endnote w:id="10">
    <w:p w14:paraId="6F47A832"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Id.</w:t>
      </w:r>
    </w:p>
  </w:endnote>
  <w:endnote w:id="11">
    <w:p w14:paraId="2B0C8937"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Id.</w:t>
      </w:r>
    </w:p>
  </w:endnote>
  <w:endnote w:id="12">
    <w:p w14:paraId="1AF8D0FC" w14:textId="7A637859"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w:t>
      </w:r>
      <w:r w:rsidRPr="00194021">
        <w:rPr>
          <w:rFonts w:asciiTheme="minorBidi" w:hAnsiTheme="minorBidi" w:cstheme="minorBidi"/>
          <w:i/>
          <w:iCs/>
          <w:sz w:val="24"/>
          <w:szCs w:val="24"/>
        </w:rPr>
        <w:t>Framework to End Health Disparities of People with Disabilities</w:t>
      </w:r>
      <w:r w:rsidRPr="00194021">
        <w:rPr>
          <w:rFonts w:asciiTheme="minorBidi" w:hAnsiTheme="minorBidi" w:cstheme="minorBidi"/>
          <w:sz w:val="24"/>
          <w:szCs w:val="24"/>
        </w:rPr>
        <w:t xml:space="preserve">, </w:t>
      </w:r>
      <w:r w:rsidRPr="00194021">
        <w:rPr>
          <w:rFonts w:asciiTheme="minorBidi" w:hAnsiTheme="minorBidi" w:cstheme="minorBidi"/>
          <w:i/>
          <w:iCs/>
          <w:sz w:val="24"/>
          <w:szCs w:val="24"/>
        </w:rPr>
        <w:t xml:space="preserve">citing to </w:t>
      </w:r>
      <w:r w:rsidRPr="00194021">
        <w:rPr>
          <w:rFonts w:asciiTheme="minorBidi" w:hAnsiTheme="minorBidi" w:cstheme="minorBidi"/>
          <w:sz w:val="24"/>
          <w:szCs w:val="24"/>
        </w:rPr>
        <w:t xml:space="preserve">M. S. Milligan and A. H. Neufeldt, “The Myth of Asexuality: A Survey of Social and Empirical Evidence,” </w:t>
      </w:r>
      <w:r w:rsidRPr="00194021">
        <w:rPr>
          <w:rFonts w:asciiTheme="minorBidi" w:hAnsiTheme="minorBidi" w:cstheme="minorBidi"/>
          <w:i/>
          <w:iCs/>
          <w:sz w:val="24"/>
          <w:szCs w:val="24"/>
        </w:rPr>
        <w:t>Sexuality and Disability</w:t>
      </w:r>
      <w:r w:rsidRPr="00194021">
        <w:rPr>
          <w:rFonts w:asciiTheme="minorBidi" w:hAnsiTheme="minorBidi" w:cstheme="minorBidi"/>
          <w:sz w:val="24"/>
          <w:szCs w:val="24"/>
        </w:rPr>
        <w:t xml:space="preserve"> 19, no. 2 (2001): 91–109, </w:t>
      </w:r>
      <w:hyperlink r:id="rId9" w:tooltip="https://doi.org/10.1023/A:1010621705591" w:history="1">
        <w:r w:rsidRPr="00194021">
          <w:rPr>
            <w:rStyle w:val="Hyperlink"/>
            <w:rFonts w:asciiTheme="minorBidi" w:hAnsiTheme="minorBidi" w:cstheme="minorBidi"/>
            <w:color w:val="0000FF"/>
            <w:sz w:val="24"/>
            <w:szCs w:val="24"/>
          </w:rPr>
          <w:t>https://doi.org/10.1023/A:1010621705591</w:t>
        </w:r>
      </w:hyperlink>
      <w:r w:rsidRPr="00194021">
        <w:rPr>
          <w:rFonts w:asciiTheme="minorBidi" w:hAnsiTheme="minorBidi" w:cstheme="minorBidi"/>
          <w:sz w:val="24"/>
          <w:szCs w:val="24"/>
        </w:rPr>
        <w:t>.</w:t>
      </w:r>
    </w:p>
  </w:endnote>
  <w:endnote w:id="13">
    <w:p w14:paraId="56760A65" w14:textId="32AC3911" w:rsidR="001B5A3A" w:rsidRPr="00194021" w:rsidRDefault="001B5A3A" w:rsidP="00194021">
      <w:pPr>
        <w:pStyle w:val="EndnoteText"/>
        <w:suppressAutoHyphens/>
        <w:spacing w:after="200"/>
        <w:jc w:val="both"/>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w:t>
      </w:r>
      <w:r w:rsidRPr="00194021">
        <w:rPr>
          <w:rFonts w:asciiTheme="minorBidi" w:hAnsiTheme="minorBidi" w:cstheme="minorBidi"/>
          <w:i/>
          <w:iCs/>
          <w:sz w:val="24"/>
          <w:szCs w:val="24"/>
        </w:rPr>
        <w:t>Framework to End Health Disparities of People with Disabilities</w:t>
      </w:r>
      <w:r w:rsidRPr="00194021">
        <w:rPr>
          <w:rFonts w:asciiTheme="minorBidi" w:hAnsiTheme="minorBidi" w:cstheme="minorBidi"/>
          <w:sz w:val="24"/>
          <w:szCs w:val="24"/>
        </w:rPr>
        <w:t xml:space="preserve">, </w:t>
      </w:r>
      <w:r w:rsidRPr="00194021">
        <w:rPr>
          <w:rFonts w:asciiTheme="minorBidi" w:hAnsiTheme="minorBidi" w:cstheme="minorBidi"/>
          <w:i/>
          <w:iCs/>
          <w:sz w:val="24"/>
          <w:szCs w:val="24"/>
        </w:rPr>
        <w:t xml:space="preserve">citing to </w:t>
      </w:r>
      <w:r w:rsidRPr="00194021">
        <w:rPr>
          <w:rFonts w:asciiTheme="minorBidi" w:hAnsiTheme="minorBidi" w:cstheme="minorBidi"/>
          <w:sz w:val="24"/>
          <w:szCs w:val="24"/>
        </w:rPr>
        <w:t xml:space="preserve">Horner-Johnson, Willi, Konrad Dobbertin, Elena M. Andresen, and Lisa I. Iezzoni, “Breast and Cervical Cancer Screening Disparities Associated with Disability Severity,” </w:t>
      </w:r>
      <w:r w:rsidRPr="00194021">
        <w:rPr>
          <w:rFonts w:asciiTheme="minorBidi" w:hAnsiTheme="minorBidi" w:cstheme="minorBidi"/>
          <w:i/>
          <w:iCs/>
          <w:sz w:val="24"/>
          <w:szCs w:val="24"/>
        </w:rPr>
        <w:t xml:space="preserve">Women’s Health Issues </w:t>
      </w:r>
      <w:r w:rsidRPr="00194021">
        <w:rPr>
          <w:rFonts w:asciiTheme="minorBidi" w:hAnsiTheme="minorBidi" w:cstheme="minorBidi"/>
          <w:sz w:val="24"/>
          <w:szCs w:val="24"/>
        </w:rPr>
        <w:t xml:space="preserve">24, no. 1 (2014): e147–53. </w:t>
      </w:r>
      <w:r w:rsidRPr="00194021">
        <w:rPr>
          <w:rFonts w:asciiTheme="minorBidi" w:hAnsiTheme="minorBidi" w:cstheme="minorBidi"/>
          <w:i/>
          <w:iCs/>
          <w:sz w:val="24"/>
          <w:szCs w:val="24"/>
        </w:rPr>
        <w:t>See also</w:t>
      </w:r>
      <w:r w:rsidRPr="00194021">
        <w:rPr>
          <w:rFonts w:asciiTheme="minorBidi" w:hAnsiTheme="minorBidi" w:cstheme="minorBidi"/>
          <w:sz w:val="24"/>
          <w:szCs w:val="24"/>
        </w:rPr>
        <w:t xml:space="preserve"> Pharr, Jennifer R., and Tim Bungum, “Health Disparities Experienced by People with Disabilities in the United States: A Behavioral Risk Factor Surveillance System Study,” </w:t>
      </w:r>
      <w:r w:rsidRPr="00194021">
        <w:rPr>
          <w:rFonts w:asciiTheme="minorBidi" w:hAnsiTheme="minorBidi" w:cstheme="minorBidi"/>
          <w:i/>
          <w:iCs/>
          <w:sz w:val="24"/>
          <w:szCs w:val="24"/>
        </w:rPr>
        <w:t>Global Journal of Health Science</w:t>
      </w:r>
      <w:r w:rsidRPr="00194021">
        <w:rPr>
          <w:rFonts w:asciiTheme="minorBidi" w:hAnsiTheme="minorBidi" w:cstheme="minorBidi"/>
          <w:sz w:val="24"/>
          <w:szCs w:val="24"/>
        </w:rPr>
        <w:t xml:space="preserve"> 4, no. 6 (2012): 99–108, </w:t>
      </w:r>
      <w:hyperlink r:id="rId10" w:tooltip="doi:10.5539/%20gjhs.v4n6p99" w:history="1">
        <w:r w:rsidRPr="00194021">
          <w:rPr>
            <w:rStyle w:val="Hyperlink"/>
            <w:rFonts w:asciiTheme="minorBidi" w:hAnsiTheme="minorBidi" w:cstheme="minorBidi"/>
            <w:color w:val="0000FF"/>
            <w:sz w:val="24"/>
            <w:szCs w:val="24"/>
          </w:rPr>
          <w:t>doi:10.5539/gjhs.v4n6p99</w:t>
        </w:r>
      </w:hyperlink>
      <w:r w:rsidRPr="00194021">
        <w:rPr>
          <w:rFonts w:asciiTheme="minorBidi" w:hAnsiTheme="minorBidi" w:cstheme="minorBidi"/>
          <w:sz w:val="24"/>
          <w:szCs w:val="24"/>
        </w:rPr>
        <w:t xml:space="preserve">. </w:t>
      </w:r>
      <w:r w:rsidRPr="00194021">
        <w:rPr>
          <w:rFonts w:asciiTheme="minorBidi" w:hAnsiTheme="minorBidi" w:cstheme="minorBidi"/>
          <w:i/>
          <w:iCs/>
          <w:sz w:val="24"/>
          <w:szCs w:val="24"/>
        </w:rPr>
        <w:t>See also</w:t>
      </w:r>
      <w:r w:rsidRPr="00194021">
        <w:rPr>
          <w:rFonts w:asciiTheme="minorBidi" w:hAnsiTheme="minorBidi" w:cstheme="minorBidi"/>
          <w:sz w:val="24"/>
          <w:szCs w:val="24"/>
        </w:rPr>
        <w:t xml:space="preserve"> Andresen, Elena M., Jana J. Peterson-Besse, Gloria L. Krahn, Emily S. Walsh, Willi Horner-Johnson, and Lisa I. Iezzoni, “Pap, Mammography, and Clinical Breast Examination Screening Among Women with Disabilities: A Systematic Review,” </w:t>
      </w:r>
      <w:r w:rsidRPr="00194021">
        <w:rPr>
          <w:rFonts w:asciiTheme="minorBidi" w:hAnsiTheme="minorBidi" w:cstheme="minorBidi"/>
          <w:i/>
          <w:iCs/>
          <w:sz w:val="24"/>
          <w:szCs w:val="24"/>
        </w:rPr>
        <w:t xml:space="preserve">Women’s Health Issues </w:t>
      </w:r>
      <w:r w:rsidRPr="00194021">
        <w:rPr>
          <w:rFonts w:asciiTheme="minorBidi" w:hAnsiTheme="minorBidi" w:cstheme="minorBidi"/>
          <w:sz w:val="24"/>
          <w:szCs w:val="24"/>
        </w:rPr>
        <w:t>23, no. 4 (2013): e205–14.</w:t>
      </w:r>
    </w:p>
  </w:endnote>
  <w:endnote w:id="14">
    <w:p w14:paraId="09799D09" w14:textId="72A32741"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w:t>
      </w:r>
      <w:r w:rsidRPr="00194021">
        <w:rPr>
          <w:rFonts w:asciiTheme="minorBidi" w:hAnsiTheme="minorBidi" w:cstheme="minorBidi"/>
          <w:i/>
          <w:iCs/>
          <w:sz w:val="24"/>
          <w:szCs w:val="24"/>
        </w:rPr>
        <w:t>Framework to End Health Disparities of People with Disabilities</w:t>
      </w:r>
      <w:r w:rsidRPr="00194021">
        <w:rPr>
          <w:rFonts w:asciiTheme="minorBidi" w:hAnsiTheme="minorBidi" w:cstheme="minorBidi"/>
          <w:sz w:val="24"/>
          <w:szCs w:val="24"/>
        </w:rPr>
        <w:t xml:space="preserve">, </w:t>
      </w:r>
      <w:r w:rsidRPr="00194021">
        <w:rPr>
          <w:rFonts w:asciiTheme="minorBidi" w:hAnsiTheme="minorBidi" w:cstheme="minorBidi"/>
          <w:i/>
          <w:iCs/>
          <w:sz w:val="24"/>
          <w:szCs w:val="24"/>
        </w:rPr>
        <w:t xml:space="preserve">citing to </w:t>
      </w:r>
      <w:r w:rsidRPr="00194021">
        <w:rPr>
          <w:rFonts w:asciiTheme="minorBidi" w:hAnsiTheme="minorBidi" w:cstheme="minorBidi"/>
          <w:sz w:val="24"/>
          <w:szCs w:val="24"/>
        </w:rPr>
        <w:t xml:space="preserve">Havercamp, Susan M., and Haleigh M. Scott, “National Health Surveillance of Adults with Disabilities, Adults with Intellectual and Developmental Disabilities, and Adults with No Disabilities,” </w:t>
      </w:r>
      <w:r w:rsidRPr="00194021">
        <w:rPr>
          <w:rFonts w:asciiTheme="minorBidi" w:hAnsiTheme="minorBidi" w:cstheme="minorBidi"/>
          <w:i/>
          <w:iCs/>
          <w:sz w:val="24"/>
          <w:szCs w:val="24"/>
        </w:rPr>
        <w:t>Disability Health Journal</w:t>
      </w:r>
      <w:r w:rsidRPr="00194021">
        <w:rPr>
          <w:rFonts w:asciiTheme="minorBidi" w:hAnsiTheme="minorBidi" w:cstheme="minorBidi"/>
          <w:sz w:val="24"/>
          <w:szCs w:val="24"/>
        </w:rPr>
        <w:t xml:space="preserve"> 8, no. 2 (2015): 165–72, </w:t>
      </w:r>
      <w:hyperlink r:id="rId11" w:tooltip="doi:10.1016/j.dhjo.2014.11.002" w:history="1">
        <w:r w:rsidRPr="00194021">
          <w:rPr>
            <w:rStyle w:val="Hyperlink"/>
            <w:rFonts w:asciiTheme="minorBidi" w:hAnsiTheme="minorBidi" w:cstheme="minorBidi"/>
            <w:color w:val="0000FF"/>
            <w:sz w:val="24"/>
            <w:szCs w:val="24"/>
          </w:rPr>
          <w:t>doi:10.1016/j.dhjo.2014.11.002</w:t>
        </w:r>
      </w:hyperlink>
      <w:r w:rsidRPr="00194021">
        <w:rPr>
          <w:rFonts w:asciiTheme="minorBidi" w:hAnsiTheme="minorBidi" w:cstheme="minorBidi"/>
          <w:sz w:val="24"/>
          <w:szCs w:val="24"/>
        </w:rPr>
        <w:t>.</w:t>
      </w:r>
    </w:p>
  </w:endnote>
  <w:endnote w:id="15">
    <w:p w14:paraId="198A1BAB"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Example provided to NCD by a faculty member from Harvard Medical School, May 21, 2026.</w:t>
      </w:r>
    </w:p>
  </w:endnote>
  <w:endnote w:id="16">
    <w:p w14:paraId="625427D7"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Response to NCD Request for Information (National Council on Disability, “Request for Information; Disability Clinical Care”.</w:t>
      </w:r>
    </w:p>
  </w:endnote>
  <w:endnote w:id="17">
    <w:p w14:paraId="51895033"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As shared by NCD Councilmember Sascha Bittner, June 15, 2026.</w:t>
      </w:r>
    </w:p>
  </w:endnote>
  <w:endnote w:id="18">
    <w:p w14:paraId="1BD6A05A"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Response to NCD Request for Information (National Council on Disability).</w:t>
      </w:r>
    </w:p>
  </w:endnote>
  <w:endnote w:id="19">
    <w:p w14:paraId="13D25EC9"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Response to NCD Request for Information (National Council on Disability.</w:t>
      </w:r>
    </w:p>
  </w:endnote>
  <w:endnote w:id="20">
    <w:p w14:paraId="088B0071"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45 C.F.R. §§ 84.90–84.94.</w:t>
      </w:r>
    </w:p>
  </w:endnote>
  <w:endnote w:id="21">
    <w:p w14:paraId="579CA419"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42 U.S.C.A. § 293e (West).</w:t>
      </w:r>
    </w:p>
  </w:endnote>
  <w:endnote w:id="22">
    <w:p w14:paraId="2F504400" w14:textId="0F7EEC80"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U.S. Department of Health and Human Services, Office for Civil Rights, “Section 504 of the Rehabilitation Act of 1973 Final Rule: Section by Section Fact Sheet for Recipients of Financial Assistance from HHS,” accessed August 3, 2026, </w:t>
      </w:r>
      <w:hyperlink r:id="rId12" w:tgtFrame="_new" w:tooltip="https://www.hhs.gov/civil-rights/for-individuals/disability/section-504-rehabilitation-act-of-1973/ocr-detailed-504-fact-sheet/index.html" w:history="1">
        <w:r w:rsidRPr="00194021">
          <w:rPr>
            <w:rStyle w:val="Hyperlink"/>
            <w:rFonts w:asciiTheme="minorBidi" w:hAnsiTheme="minorBidi" w:cstheme="minorBidi"/>
            <w:color w:val="0000FF"/>
            <w:sz w:val="24"/>
            <w:szCs w:val="24"/>
          </w:rPr>
          <w:t>https://www.hhs.gov/civil-rights/for-individuals/disability/section-504-rehabilitation-act-of-1973/ocr-detailed-504-fact-sheet/index.html</w:t>
        </w:r>
      </w:hyperlink>
      <w:r w:rsidRPr="00194021">
        <w:rPr>
          <w:rFonts w:asciiTheme="minorBidi" w:hAnsiTheme="minorBidi" w:cstheme="minorBidi"/>
          <w:sz w:val="24"/>
          <w:szCs w:val="24"/>
        </w:rPr>
        <w:t>.</w:t>
      </w:r>
    </w:p>
  </w:endnote>
  <w:endnote w:id="23">
    <w:p w14:paraId="354D8393"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45 C.F.R. § 84.56.</w:t>
      </w:r>
    </w:p>
  </w:endnote>
  <w:endnote w:id="24">
    <w:p w14:paraId="79BD747E" w14:textId="7DA5EC90"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Please also see NCD’s related recommendations: “2021 Progress Report: The Impact of COVID-19 on People with Disabilities,” October 29, 2021, </w:t>
      </w:r>
      <w:hyperlink r:id="rId13" w:tooltip="https://www.ncd.gov/report/an-extra" w:history="1">
        <w:r w:rsidRPr="00194021">
          <w:rPr>
            <w:rStyle w:val="Hyperlink"/>
            <w:rFonts w:asciiTheme="minorBidi" w:hAnsiTheme="minorBidi" w:cstheme="minorBidi"/>
            <w:color w:val="0000FF"/>
            <w:sz w:val="24"/>
            <w:szCs w:val="24"/>
          </w:rPr>
          <w:t>https://www.ncd.gov/report/an-extra</w:t>
        </w:r>
      </w:hyperlink>
      <w:r w:rsidRPr="00194021">
        <w:rPr>
          <w:rFonts w:asciiTheme="minorBidi" w:hAnsiTheme="minorBidi" w:cstheme="minorBidi"/>
          <w:sz w:val="24"/>
          <w:szCs w:val="24"/>
        </w:rPr>
        <w:t>.</w:t>
      </w:r>
    </w:p>
  </w:endnote>
  <w:endnote w:id="25">
    <w:p w14:paraId="742AFAA9"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45 C.F.R. § 84.57.</w:t>
      </w:r>
    </w:p>
  </w:endnote>
  <w:endnote w:id="26">
    <w:p w14:paraId="2FDF0D06"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45 C.F.R. §§ 84.90-84.94.</w:t>
      </w:r>
    </w:p>
  </w:endnote>
  <w:endnote w:id="27">
    <w:p w14:paraId="1B035AC0"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45 C.F.R. §§ 84.77-84.81.</w:t>
      </w:r>
    </w:p>
  </w:endnote>
  <w:endnote w:id="28">
    <w:p w14:paraId="6ABD3ABC"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Americans with Disabilities Act of 1990, Pub. L. No. 101-336, 104 Stat. 327 (1990); Rehabilitation Act of 1973, Pub. L. No. 93-112, § 504, 87 Stat. 355, 394 (1973).</w:t>
      </w:r>
    </w:p>
  </w:endnote>
  <w:endnote w:id="29">
    <w:p w14:paraId="788326F8"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Mass. Gen. Laws ch. 17, § 22 (2025).</w:t>
      </w:r>
    </w:p>
  </w:endnote>
  <w:endnote w:id="30">
    <w:p w14:paraId="5A7AEEC7" w14:textId="472F4F81"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Liaison Committee on Medical Education, “About LCME,” accessed August 3, 2026, </w:t>
      </w:r>
      <w:hyperlink r:id="rId14" w:tgtFrame="_new" w:tooltip="https://lcme.org/about" w:history="1">
        <w:r w:rsidRPr="00194021">
          <w:rPr>
            <w:rStyle w:val="Hyperlink"/>
            <w:rFonts w:asciiTheme="minorBidi" w:hAnsiTheme="minorBidi" w:cstheme="minorBidi"/>
            <w:color w:val="0000FF"/>
            <w:sz w:val="24"/>
            <w:szCs w:val="24"/>
          </w:rPr>
          <w:t>https://lcme.org/about</w:t>
        </w:r>
      </w:hyperlink>
      <w:r w:rsidRPr="00194021">
        <w:rPr>
          <w:rFonts w:asciiTheme="minorBidi" w:hAnsiTheme="minorBidi" w:cstheme="minorBidi"/>
          <w:sz w:val="24"/>
          <w:szCs w:val="24"/>
        </w:rPr>
        <w:t>.</w:t>
      </w:r>
    </w:p>
  </w:endnote>
  <w:endnote w:id="31">
    <w:p w14:paraId="39273DB5" w14:textId="5D86E12B"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Liaison Committee on Medical Education, “Standards and Rules,” accessed August 3, 2026, </w:t>
      </w:r>
      <w:hyperlink r:id="rId15" w:tgtFrame="_new" w:tooltip="https://lcme.org/standards-and-rules" w:history="1">
        <w:r w:rsidRPr="00194021">
          <w:rPr>
            <w:rStyle w:val="Hyperlink"/>
            <w:rFonts w:asciiTheme="minorBidi" w:hAnsiTheme="minorBidi" w:cstheme="minorBidi"/>
            <w:color w:val="0000FF"/>
            <w:sz w:val="24"/>
            <w:szCs w:val="24"/>
          </w:rPr>
          <w:t>https://lcme.org/standards-and-rules</w:t>
        </w:r>
      </w:hyperlink>
      <w:r w:rsidRPr="00194021">
        <w:rPr>
          <w:rFonts w:asciiTheme="minorBidi" w:hAnsiTheme="minorBidi" w:cstheme="minorBidi"/>
          <w:sz w:val="24"/>
          <w:szCs w:val="24"/>
        </w:rPr>
        <w:t>.</w:t>
      </w:r>
    </w:p>
  </w:endnote>
  <w:endnote w:id="32">
    <w:p w14:paraId="3177146F"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Liaison Committee on Medical Education, “About LCME.”</w:t>
      </w:r>
    </w:p>
  </w:endnote>
  <w:endnote w:id="33">
    <w:p w14:paraId="4057AB55"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Liaison Committee on Medical Education, “Standards and Rules.”</w:t>
      </w:r>
    </w:p>
  </w:endnote>
  <w:endnote w:id="34">
    <w:p w14:paraId="7E54C0E1" w14:textId="5EB366F5"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Accreditation Council for Graduate Medical Education, “Overview,” accessed August 3, 2026, </w:t>
      </w:r>
      <w:hyperlink r:id="rId16" w:tgtFrame="_new" w:tooltip="https://www.acgme.org/about/overview" w:history="1">
        <w:r w:rsidRPr="00194021">
          <w:rPr>
            <w:rStyle w:val="Hyperlink"/>
            <w:rFonts w:asciiTheme="minorBidi" w:hAnsiTheme="minorBidi" w:cstheme="minorBidi"/>
            <w:color w:val="0000FF"/>
            <w:sz w:val="24"/>
            <w:szCs w:val="24"/>
          </w:rPr>
          <w:t>https://www.acgme.org/about/overview</w:t>
        </w:r>
      </w:hyperlink>
      <w:r w:rsidRPr="00194021">
        <w:rPr>
          <w:rFonts w:asciiTheme="minorBidi" w:hAnsiTheme="minorBidi" w:cstheme="minorBidi"/>
          <w:sz w:val="24"/>
          <w:szCs w:val="24"/>
        </w:rPr>
        <w:t>.</w:t>
      </w:r>
    </w:p>
  </w:endnote>
  <w:endnote w:id="35">
    <w:p w14:paraId="14787240"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Council Meeting, panel on “Responding to Health Disparities of People with Disabilities – A Collaborative Effort,” Washington, D.C. (July 12, 2023).</w:t>
      </w:r>
    </w:p>
  </w:endnote>
  <w:endnote w:id="36">
    <w:p w14:paraId="6BC3B420" w14:textId="3EA98D9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Accreditation Council for Graduate Medical Education, </w:t>
      </w:r>
      <w:r w:rsidRPr="00194021">
        <w:rPr>
          <w:rFonts w:asciiTheme="minorBidi" w:hAnsiTheme="minorBidi" w:cstheme="minorBidi"/>
          <w:i/>
          <w:iCs/>
          <w:sz w:val="24"/>
          <w:szCs w:val="24"/>
        </w:rPr>
        <w:t>Proceedings of the 2025 ACGME Summit on Fostering Disability-Inclusive Health Care in Resident Education</w:t>
      </w:r>
      <w:r w:rsidRPr="00194021">
        <w:rPr>
          <w:rFonts w:asciiTheme="minorBidi" w:hAnsiTheme="minorBidi" w:cstheme="minorBidi"/>
          <w:sz w:val="24"/>
          <w:szCs w:val="24"/>
        </w:rPr>
        <w:t xml:space="preserve"> (Chicago: Accreditation Council for Graduate Medical Education, 2025), </w:t>
      </w:r>
      <w:hyperlink r:id="rId17" w:tgtFrame="_new" w:tooltip="https://www.acgme.org/globalassets/pdfs/disabilitysummit/acgmedisabilitysummitproceedingsdigital.pdf" w:history="1">
        <w:r w:rsidRPr="00194021">
          <w:rPr>
            <w:rStyle w:val="Hyperlink"/>
            <w:rFonts w:asciiTheme="minorBidi" w:hAnsiTheme="minorBidi" w:cstheme="minorBidi"/>
            <w:color w:val="0000FF"/>
            <w:sz w:val="24"/>
            <w:szCs w:val="24"/>
          </w:rPr>
          <w:t>https://www.acgme.org/globalassets/pdfs/disabilitysummit/acgmedisabilitysummitproceedingsdigital.pdf</w:t>
        </w:r>
      </w:hyperlink>
      <w:r w:rsidRPr="00194021">
        <w:rPr>
          <w:rFonts w:asciiTheme="minorBidi" w:hAnsiTheme="minorBidi" w:cstheme="minorBidi"/>
          <w:sz w:val="24"/>
          <w:szCs w:val="24"/>
        </w:rPr>
        <w:t>.</w:t>
      </w:r>
    </w:p>
  </w:endnote>
  <w:endnote w:id="37">
    <w:p w14:paraId="4DE21647" w14:textId="0AB9184E"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Commission on Osteopathic College Accreditation, main page, accessed August 23, 2026, </w:t>
      </w:r>
      <w:hyperlink r:id="rId18" w:tooltip="https://osteopathic.org/accreditation" w:history="1">
        <w:r w:rsidRPr="00194021">
          <w:rPr>
            <w:rStyle w:val="Hyperlink"/>
            <w:rFonts w:asciiTheme="minorBidi" w:hAnsiTheme="minorBidi" w:cstheme="minorBidi"/>
            <w:color w:val="0000FF"/>
            <w:sz w:val="24"/>
            <w:szCs w:val="24"/>
          </w:rPr>
          <w:t>https://osteopathic.org/accreditation</w:t>
        </w:r>
      </w:hyperlink>
      <w:r w:rsidRPr="00194021">
        <w:rPr>
          <w:rFonts w:asciiTheme="minorBidi" w:hAnsiTheme="minorBidi" w:cstheme="minorBidi"/>
          <w:sz w:val="24"/>
          <w:szCs w:val="24"/>
        </w:rPr>
        <w:t>.</w:t>
      </w:r>
    </w:p>
  </w:endnote>
  <w:endnote w:id="38">
    <w:p w14:paraId="757D75EF" w14:textId="01E6F5B6"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Commission on Osteopathic College Accreditation, “Continuing Accreditation Standards,” accessed August 23, 2026, </w:t>
      </w:r>
      <w:hyperlink r:id="rId19" w:tooltip="https://osteopathic.org/wp-content/uploads/COCA-2026-COM-Continuing-Accreditation-Standards.pdf" w:history="1">
        <w:r w:rsidRPr="00194021">
          <w:rPr>
            <w:rStyle w:val="Hyperlink"/>
            <w:rFonts w:asciiTheme="minorBidi" w:hAnsiTheme="minorBidi" w:cstheme="minorBidi"/>
            <w:color w:val="0000FF"/>
            <w:sz w:val="24"/>
            <w:szCs w:val="24"/>
          </w:rPr>
          <w:t>https://osteopathic.org/wp-content/uploads/COCA-2026-COM-Continuing-Accreditation-Standards.pdf</w:t>
        </w:r>
      </w:hyperlink>
      <w:r w:rsidRPr="00194021">
        <w:rPr>
          <w:rFonts w:asciiTheme="minorBidi" w:hAnsiTheme="minorBidi" w:cstheme="minorBidi"/>
          <w:sz w:val="24"/>
          <w:szCs w:val="24"/>
        </w:rPr>
        <w:t>.</w:t>
      </w:r>
    </w:p>
  </w:endnote>
  <w:endnote w:id="39">
    <w:p w14:paraId="6922515A"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Council Meeting, panel on “Responding to Health Disparities.”</w:t>
      </w:r>
    </w:p>
  </w:endnote>
  <w:endnote w:id="40">
    <w:p w14:paraId="6497C987" w14:textId="2EE833D2"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Joint Commission, </w:t>
      </w:r>
      <w:r w:rsidRPr="00194021">
        <w:rPr>
          <w:rFonts w:asciiTheme="minorBidi" w:hAnsiTheme="minorBidi" w:cstheme="minorBidi"/>
          <w:i/>
          <w:iCs/>
          <w:sz w:val="24"/>
          <w:szCs w:val="24"/>
        </w:rPr>
        <w:t>R3 Report Issue 36: New Requirements to Reduce Health Care Disparities</w:t>
      </w:r>
      <w:r w:rsidRPr="00194021">
        <w:rPr>
          <w:rFonts w:asciiTheme="minorBidi" w:hAnsiTheme="minorBidi" w:cstheme="minorBidi"/>
          <w:sz w:val="24"/>
          <w:szCs w:val="24"/>
        </w:rPr>
        <w:t xml:space="preserve"> (Oakbrook Terrace, IL: Joint Commission, June 20, 2022), </w:t>
      </w:r>
      <w:hyperlink r:id="rId20" w:tgtFrame="_new" w:tooltip="https://www.jointcommission.org/standards/r3-report/r3-report-36" w:history="1">
        <w:r w:rsidRPr="00194021">
          <w:rPr>
            <w:rStyle w:val="Hyperlink"/>
            <w:rFonts w:asciiTheme="minorBidi" w:hAnsiTheme="minorBidi" w:cstheme="minorBidi"/>
            <w:color w:val="0000FF"/>
            <w:sz w:val="24"/>
            <w:szCs w:val="24"/>
          </w:rPr>
          <w:t>https://www.jointcommission.org/standards/r3-report/r3-report-36</w:t>
        </w:r>
      </w:hyperlink>
      <w:r w:rsidRPr="00194021">
        <w:rPr>
          <w:rFonts w:asciiTheme="minorBidi" w:hAnsiTheme="minorBidi" w:cstheme="minorBidi"/>
          <w:sz w:val="24"/>
          <w:szCs w:val="24"/>
        </w:rPr>
        <w:t>.</w:t>
      </w:r>
    </w:p>
  </w:endnote>
  <w:endnote w:id="41">
    <w:p w14:paraId="2E1B2619" w14:textId="4AE66441"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American Medical Association, “About,” accessed August 3, 2026, </w:t>
      </w:r>
      <w:hyperlink r:id="rId21" w:tgtFrame="_new" w:tooltip="https://www.ama-assn.org/about" w:history="1">
        <w:r w:rsidRPr="00194021">
          <w:rPr>
            <w:rStyle w:val="Hyperlink"/>
            <w:rFonts w:asciiTheme="minorBidi" w:hAnsiTheme="minorBidi" w:cstheme="minorBidi"/>
            <w:color w:val="0000FF"/>
            <w:sz w:val="24"/>
            <w:szCs w:val="24"/>
          </w:rPr>
          <w:t>https://www.ama-assn.org/about</w:t>
        </w:r>
      </w:hyperlink>
      <w:r w:rsidRPr="00194021">
        <w:rPr>
          <w:rFonts w:asciiTheme="minorBidi" w:hAnsiTheme="minorBidi" w:cstheme="minorBidi"/>
          <w:sz w:val="24"/>
          <w:szCs w:val="24"/>
        </w:rPr>
        <w:t>.</w:t>
      </w:r>
    </w:p>
  </w:endnote>
  <w:endnote w:id="42">
    <w:p w14:paraId="62914FB1"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Council Meeting, panel on “Responding to Health Disparities.”</w:t>
      </w:r>
    </w:p>
  </w:endnote>
  <w:endnote w:id="43">
    <w:p w14:paraId="7BAB257E" w14:textId="1E18D719"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American Medical Association, “Medical Care of Persons with Disabilities (Policy H-90.968),” </w:t>
      </w:r>
      <w:r w:rsidRPr="00194021">
        <w:rPr>
          <w:rFonts w:asciiTheme="minorBidi" w:hAnsiTheme="minorBidi" w:cstheme="minorBidi"/>
          <w:i/>
          <w:iCs/>
          <w:sz w:val="24"/>
          <w:szCs w:val="24"/>
        </w:rPr>
        <w:t>AMA Policy Finder</w:t>
      </w:r>
      <w:r w:rsidRPr="00194021">
        <w:rPr>
          <w:rFonts w:asciiTheme="minorBidi" w:hAnsiTheme="minorBidi" w:cstheme="minorBidi"/>
          <w:sz w:val="24"/>
          <w:szCs w:val="24"/>
        </w:rPr>
        <w:t xml:space="preserve">, last modified 2022, accessed August 5, 2026, </w:t>
      </w:r>
      <w:hyperlink r:id="rId22" w:tooltip="https://policysearch.ama-assn.org/policyfinder/detail/Medical%20Care%20of%20Persons%20with%20Disabilities%20H-90.968?uri=%2FAMADoc%2FHOD.xml-0-5283.xml" w:history="1">
        <w:r w:rsidRPr="00AB5F2A">
          <w:rPr>
            <w:rStyle w:val="Hyperlink"/>
            <w:rFonts w:asciiTheme="minorBidi" w:hAnsiTheme="minorBidi" w:cstheme="minorBidi"/>
            <w:color w:val="0000FF"/>
            <w:sz w:val="24"/>
            <w:szCs w:val="24"/>
          </w:rPr>
          <w:t>https://policysearch.ama-assn.org</w:t>
        </w:r>
      </w:hyperlink>
      <w:hyperlink r:id="rId23" w:tooltip="https://policysearch.ama-assn.org/policyfinder/detail/Medical%20Care%20of%20Persons%20with%20Disabilities%20H-90.968?uri=%2FAMADoc%2FHOD.xml-0-5283.xml" w:history="1">
        <w:r w:rsidRPr="00AB5F2A">
          <w:rPr>
            <w:rStyle w:val="Hyperlink"/>
            <w:rFonts w:asciiTheme="minorBidi" w:hAnsiTheme="minorBidi" w:cstheme="minorBidi"/>
            <w:color w:val="0000FF"/>
            <w:sz w:val="24"/>
            <w:szCs w:val="24"/>
          </w:rPr>
          <w:t>/policyfinder/detail/Medical%20Care%20of%20Persons%20with%20Disabilities%20H-90.968?uri=%2FAMADoc%2FHOD.xml-0-5283.xml</w:t>
        </w:r>
      </w:hyperlink>
      <w:r w:rsidRPr="00194021">
        <w:rPr>
          <w:rFonts w:asciiTheme="minorBidi" w:hAnsiTheme="minorBidi" w:cstheme="minorBidi"/>
          <w:sz w:val="24"/>
          <w:szCs w:val="24"/>
        </w:rPr>
        <w:t>.</w:t>
      </w:r>
    </w:p>
  </w:endnote>
  <w:endnote w:id="44">
    <w:p w14:paraId="6FCA5E10" w14:textId="75804F81"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Association of American Medical Colleges, “About Us,” accessed August 3, 2026, </w:t>
      </w:r>
      <w:hyperlink r:id="rId24" w:tgtFrame="_new" w:tooltip="https://www.aamc.org/about-us" w:history="1">
        <w:r w:rsidRPr="00194021">
          <w:rPr>
            <w:rStyle w:val="Hyperlink"/>
            <w:rFonts w:asciiTheme="minorBidi" w:hAnsiTheme="minorBidi" w:cstheme="minorBidi"/>
            <w:color w:val="0000FF"/>
            <w:sz w:val="24"/>
            <w:szCs w:val="24"/>
          </w:rPr>
          <w:t>https://www.aamc.org/about-us</w:t>
        </w:r>
      </w:hyperlink>
      <w:r w:rsidRPr="00194021">
        <w:rPr>
          <w:rFonts w:asciiTheme="minorBidi" w:hAnsiTheme="minorBidi" w:cstheme="minorBidi"/>
          <w:sz w:val="24"/>
          <w:szCs w:val="24"/>
        </w:rPr>
        <w:t>.</w:t>
      </w:r>
    </w:p>
  </w:endnote>
  <w:endnote w:id="45">
    <w:p w14:paraId="41877F6D"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Council Meeting, panel on “Responding to Health Disparities.”</w:t>
      </w:r>
    </w:p>
  </w:endnote>
  <w:endnote w:id="46">
    <w:p w14:paraId="06305CEE" w14:textId="3963F5D9"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Association of American Medical Colleges, “Disability and Accessibility in Academic Medicine,” accessed August 5, 2026, </w:t>
      </w:r>
      <w:hyperlink r:id="rId25" w:tgtFrame="_new" w:tooltip="https://www.aamc.org/about-us/excellence-academic-medicine/disability-accessibility" w:history="1">
        <w:r w:rsidRPr="00194021">
          <w:rPr>
            <w:rStyle w:val="Hyperlink"/>
            <w:rFonts w:asciiTheme="minorBidi" w:hAnsiTheme="minorBidi" w:cstheme="minorBidi"/>
            <w:color w:val="0000FF"/>
            <w:sz w:val="24"/>
            <w:szCs w:val="24"/>
          </w:rPr>
          <w:t>https://www.aamc.org/about-us/excellence-academic-medicine/disability-accessibility</w:t>
        </w:r>
      </w:hyperlink>
      <w:r w:rsidRPr="00194021">
        <w:rPr>
          <w:rFonts w:asciiTheme="minorBidi" w:hAnsiTheme="minorBidi" w:cstheme="minorBidi"/>
          <w:sz w:val="24"/>
          <w:szCs w:val="24"/>
        </w:rPr>
        <w:t>.</w:t>
      </w:r>
    </w:p>
  </w:endnote>
  <w:endnote w:id="47">
    <w:p w14:paraId="0869D242" w14:textId="774070FD"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Association of American Medical Colleges, “Competency-Based Medical Education (CBME),” accessed August 5, 2026, </w:t>
      </w:r>
      <w:hyperlink r:id="rId26" w:tgtFrame="_new" w:tooltip="https://www.aamc.org/about-us/mission-areas/medical-education/cbme" w:history="1">
        <w:r w:rsidRPr="00194021">
          <w:rPr>
            <w:rStyle w:val="Hyperlink"/>
            <w:rFonts w:asciiTheme="minorBidi" w:hAnsiTheme="minorBidi" w:cstheme="minorBidi"/>
            <w:color w:val="0000FF"/>
            <w:sz w:val="24"/>
            <w:szCs w:val="24"/>
          </w:rPr>
          <w:t>https://www.aamc.org/about-us/mission-areas/medical-education/cbme</w:t>
        </w:r>
      </w:hyperlink>
      <w:r w:rsidRPr="00194021">
        <w:rPr>
          <w:rFonts w:asciiTheme="minorBidi" w:hAnsiTheme="minorBidi" w:cstheme="minorBidi"/>
          <w:sz w:val="24"/>
          <w:szCs w:val="24"/>
        </w:rPr>
        <w:t>.</w:t>
      </w:r>
    </w:p>
  </w:endnote>
  <w:endnote w:id="48">
    <w:p w14:paraId="5EB3DF81" w14:textId="1221B2CF"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United States Medical Licensing Examination, “Bulletin of Information,” accessed August 5, 2026, </w:t>
      </w:r>
      <w:hyperlink r:id="rId27" w:tgtFrame="_new" w:tooltip="https://www.usmle.org/bulletin-information/overview" w:history="1">
        <w:r w:rsidRPr="00194021">
          <w:rPr>
            <w:rStyle w:val="Hyperlink"/>
            <w:rFonts w:asciiTheme="minorBidi" w:hAnsiTheme="minorBidi" w:cstheme="minorBidi"/>
            <w:color w:val="0000FF"/>
            <w:sz w:val="24"/>
            <w:szCs w:val="24"/>
          </w:rPr>
          <w:t>https://www.usmle.org/bulletin-information/overview</w:t>
        </w:r>
      </w:hyperlink>
      <w:r w:rsidRPr="00194021">
        <w:rPr>
          <w:rFonts w:asciiTheme="minorBidi" w:hAnsiTheme="minorBidi" w:cstheme="minorBidi"/>
          <w:sz w:val="24"/>
          <w:szCs w:val="24"/>
        </w:rPr>
        <w:t>.</w:t>
      </w:r>
    </w:p>
  </w:endnote>
  <w:endnote w:id="49">
    <w:p w14:paraId="3592342D"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Id.</w:t>
      </w:r>
    </w:p>
  </w:endnote>
  <w:endnote w:id="50">
    <w:p w14:paraId="44E873CB" w14:textId="445F32EB"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Ohio Disability and Health Program, Nisonger Center, The Ohio State University, “Core Competencies on Disability for Health Care Education,” accessed August 5, 2026, </w:t>
      </w:r>
      <w:hyperlink r:id="rId28" w:tgtFrame="_new" w:tooltip="https://nisonger.osu.edu/education-training/ohio-disability-health-program/corecompetenciesondisability" w:history="1">
        <w:r w:rsidRPr="00194021">
          <w:rPr>
            <w:rStyle w:val="Hyperlink"/>
            <w:rFonts w:asciiTheme="minorBidi" w:hAnsiTheme="minorBidi" w:cstheme="minorBidi"/>
            <w:color w:val="0000FF"/>
            <w:sz w:val="24"/>
            <w:szCs w:val="24"/>
          </w:rPr>
          <w:t>https://nisonger.osu.edu/education-training/ohio-disability-health-program/corecompetenciesondisability</w:t>
        </w:r>
      </w:hyperlink>
      <w:r w:rsidRPr="00194021">
        <w:rPr>
          <w:rFonts w:asciiTheme="minorBidi" w:hAnsiTheme="minorBidi" w:cstheme="minorBidi"/>
          <w:sz w:val="24"/>
          <w:szCs w:val="24"/>
        </w:rPr>
        <w:t>.</w:t>
      </w:r>
    </w:p>
  </w:endnote>
  <w:endnote w:id="51">
    <w:p w14:paraId="24AF1D99"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w:t>
      </w:r>
      <w:r w:rsidRPr="00194021">
        <w:rPr>
          <w:rFonts w:asciiTheme="minorBidi" w:hAnsiTheme="minorBidi" w:cstheme="minorBidi"/>
          <w:i/>
          <w:iCs/>
          <w:sz w:val="24"/>
          <w:szCs w:val="24"/>
        </w:rPr>
        <w:t>Framework to End Health Disparities</w:t>
      </w:r>
      <w:r w:rsidRPr="00194021">
        <w:rPr>
          <w:rFonts w:asciiTheme="minorBidi" w:hAnsiTheme="minorBidi" w:cstheme="minorBidi"/>
          <w:sz w:val="24"/>
          <w:szCs w:val="24"/>
        </w:rPr>
        <w:t>.</w:t>
      </w:r>
    </w:p>
  </w:endnote>
  <w:endnote w:id="52">
    <w:p w14:paraId="6D0F2ACE"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Campbell and Rydberg, “Disability Competencies.”</w:t>
      </w:r>
    </w:p>
  </w:endnote>
  <w:endnote w:id="53">
    <w:p w14:paraId="79EA11D3"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w:t>
      </w:r>
      <w:r w:rsidRPr="00194021">
        <w:rPr>
          <w:rFonts w:asciiTheme="minorBidi" w:hAnsiTheme="minorBidi" w:cstheme="minorBidi"/>
          <w:i/>
          <w:iCs/>
          <w:sz w:val="24"/>
          <w:szCs w:val="24"/>
        </w:rPr>
        <w:t>Framework to End Health Disparities</w:t>
      </w:r>
      <w:r w:rsidRPr="00194021">
        <w:rPr>
          <w:rFonts w:asciiTheme="minorBidi" w:hAnsiTheme="minorBidi" w:cstheme="minorBidi"/>
          <w:sz w:val="24"/>
          <w:szCs w:val="24"/>
        </w:rPr>
        <w:t>, and noted again herein.</w:t>
      </w:r>
    </w:p>
  </w:endnote>
  <w:endnote w:id="54">
    <w:p w14:paraId="23BAC88F"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Id.</w:t>
      </w:r>
    </w:p>
  </w:endnote>
  <w:endnote w:id="55">
    <w:p w14:paraId="4FACE7FF"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National Council on Disability, </w:t>
      </w:r>
      <w:r w:rsidRPr="00194021">
        <w:rPr>
          <w:rFonts w:asciiTheme="minorBidi" w:hAnsiTheme="minorBidi" w:cstheme="minorBidi"/>
          <w:i/>
          <w:iCs/>
          <w:sz w:val="24"/>
          <w:szCs w:val="24"/>
        </w:rPr>
        <w:t>Framework to End Health Disparities.</w:t>
      </w:r>
    </w:p>
  </w:endnote>
  <w:endnote w:id="56">
    <w:p w14:paraId="374CF781"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Noted for NCD by a faculty member from Harvard Medical School, May 1, 2026.</w:t>
      </w:r>
    </w:p>
  </w:endnote>
  <w:endnote w:id="57">
    <w:p w14:paraId="1EBFEFD9"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Noted for NCD by a faculty member from the University of Illinois College of Medicine, Chicago, Medical August 26, 2026.</w:t>
      </w:r>
    </w:p>
  </w:endnote>
  <w:endnote w:id="58">
    <w:p w14:paraId="44612575"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Response to NCD Request for Information (National Council on Disability, “Request for Information; Disability Clinical Care.”</w:t>
      </w:r>
    </w:p>
  </w:endnote>
  <w:endnote w:id="59">
    <w:p w14:paraId="5DE6DA3C"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w:t>
      </w:r>
      <w:r w:rsidRPr="00194021">
        <w:rPr>
          <w:rFonts w:asciiTheme="minorBidi" w:hAnsiTheme="minorBidi" w:cstheme="minorBidi"/>
          <w:sz w:val="24"/>
          <w:szCs w:val="24"/>
        </w:rPr>
        <w:t xml:space="preserve">Agaronnik, Nicole, Areej El-Jawahri, and Lisa Iezzoni, “Implications of Physical Access Barriers for Breast Cancer Diagnosis and Treatment in Women with Mobility Disability,” </w:t>
      </w:r>
      <w:r w:rsidRPr="00194021">
        <w:rPr>
          <w:rFonts w:asciiTheme="minorBidi" w:hAnsiTheme="minorBidi" w:cstheme="minorBidi"/>
          <w:i/>
          <w:iCs/>
          <w:sz w:val="24"/>
          <w:szCs w:val="24"/>
        </w:rPr>
        <w:t>Journal of Disability Policy Studies</w:t>
      </w:r>
      <w:r w:rsidRPr="00194021">
        <w:rPr>
          <w:rFonts w:asciiTheme="minorBidi" w:hAnsiTheme="minorBidi" w:cstheme="minorBidi"/>
          <w:sz w:val="24"/>
          <w:szCs w:val="24"/>
        </w:rPr>
        <w:t xml:space="preserve"> 33, no. 1 (2022): 46–54. Agaronnik, Nicole D., Elizabeth Pendo, Eric G. Campbell, Julie Ressalam, and Lisa I. Iezzoni, “Knowledge of Practicing Physicians About Their Legal Obligations When Caring for Patients with Disability,” </w:t>
      </w:r>
      <w:r w:rsidRPr="00194021">
        <w:rPr>
          <w:rFonts w:asciiTheme="minorBidi" w:hAnsiTheme="minorBidi" w:cstheme="minorBidi"/>
          <w:i/>
          <w:iCs/>
          <w:sz w:val="24"/>
          <w:szCs w:val="24"/>
        </w:rPr>
        <w:t>Health</w:t>
      </w:r>
      <w:r w:rsidRPr="00194021">
        <w:rPr>
          <w:rFonts w:asciiTheme="minorBidi" w:hAnsiTheme="minorBidi" w:cstheme="minorBidi"/>
          <w:sz w:val="24"/>
          <w:szCs w:val="24"/>
        </w:rPr>
        <w:t xml:space="preserve"> </w:t>
      </w:r>
      <w:r w:rsidRPr="00194021">
        <w:rPr>
          <w:rFonts w:asciiTheme="minorBidi" w:hAnsiTheme="minorBidi" w:cstheme="minorBidi"/>
          <w:i/>
          <w:iCs/>
          <w:sz w:val="24"/>
          <w:szCs w:val="24"/>
        </w:rPr>
        <w:t>Affairs</w:t>
      </w:r>
      <w:r w:rsidRPr="00194021">
        <w:rPr>
          <w:rFonts w:asciiTheme="minorBidi" w:hAnsiTheme="minorBidi" w:cstheme="minorBidi"/>
          <w:sz w:val="24"/>
          <w:szCs w:val="24"/>
        </w:rPr>
        <w:t xml:space="preserve"> 38, no. 4 (2019): 545–53. Iezzoni et al., “Physicians’ Perceptions.”</w:t>
      </w:r>
    </w:p>
  </w:endnote>
  <w:endnote w:id="60">
    <w:p w14:paraId="7C4F1CBD"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Phillips, Kimberly G., Evan England, and Jeanne S Wishengrad, “Disability- Competence Training Influences Health Care Providers’ Conceptualizations of Disability: An Evaluation Study,” </w:t>
      </w:r>
      <w:r w:rsidRPr="00194021">
        <w:rPr>
          <w:rFonts w:asciiTheme="minorBidi" w:hAnsiTheme="minorBidi" w:cstheme="minorBidi"/>
          <w:i/>
          <w:iCs/>
          <w:sz w:val="24"/>
          <w:szCs w:val="24"/>
        </w:rPr>
        <w:t>Disability and Health Journal</w:t>
      </w:r>
      <w:r w:rsidRPr="00194021">
        <w:rPr>
          <w:rFonts w:asciiTheme="minorBidi" w:hAnsiTheme="minorBidi" w:cstheme="minorBidi"/>
          <w:sz w:val="24"/>
          <w:szCs w:val="24"/>
        </w:rPr>
        <w:t xml:space="preserve"> 14, no. 4 (2021): 101124; Pezzin, Liliana E., Hillary R. Bogner, Jibby E. </w:t>
      </w:r>
      <w:r w:rsidRPr="00194021">
        <w:rPr>
          <w:rFonts w:asciiTheme="minorBidi" w:hAnsiTheme="minorBidi" w:cstheme="minorBidi"/>
          <w:sz w:val="24"/>
          <w:szCs w:val="24"/>
        </w:rPr>
        <w:t xml:space="preserve">Kurichi, et al., “Preventable Hospitalizations, Barriers to Care, and Disability,” </w:t>
      </w:r>
      <w:r w:rsidRPr="00194021">
        <w:rPr>
          <w:rFonts w:asciiTheme="minorBidi" w:hAnsiTheme="minorBidi" w:cstheme="minorBidi"/>
          <w:i/>
          <w:iCs/>
          <w:sz w:val="24"/>
          <w:szCs w:val="24"/>
        </w:rPr>
        <w:t xml:space="preserve">Medicine (Baltimore) </w:t>
      </w:r>
      <w:r w:rsidRPr="00194021">
        <w:rPr>
          <w:rFonts w:asciiTheme="minorBidi" w:hAnsiTheme="minorBidi" w:cstheme="minorBidi"/>
          <w:sz w:val="24"/>
          <w:szCs w:val="24"/>
        </w:rPr>
        <w:t xml:space="preserve">97, no. 19 (2018): e0691. </w:t>
      </w:r>
      <w:r w:rsidRPr="00194021">
        <w:rPr>
          <w:rFonts w:asciiTheme="minorBidi" w:hAnsiTheme="minorBidi" w:cstheme="minorBidi"/>
          <w:i/>
          <w:iCs/>
          <w:sz w:val="24"/>
          <w:szCs w:val="24"/>
        </w:rPr>
        <w:t xml:space="preserve">See also </w:t>
      </w:r>
      <w:r w:rsidRPr="00194021">
        <w:rPr>
          <w:rFonts w:asciiTheme="minorBidi" w:hAnsiTheme="minorBidi" w:cstheme="minorBidi"/>
          <w:sz w:val="24"/>
          <w:szCs w:val="24"/>
        </w:rPr>
        <w:t>Kirschner, Kristi L., Mary Lou Breslin, and Lisa I. Iezzoni,</w:t>
      </w:r>
      <w:r w:rsidRPr="00194021">
        <w:rPr>
          <w:rFonts w:asciiTheme="minorBidi" w:hAnsiTheme="minorBidi" w:cstheme="minorBidi"/>
          <w:i/>
          <w:iCs/>
          <w:sz w:val="24"/>
          <w:szCs w:val="24"/>
        </w:rPr>
        <w:t xml:space="preserve"> </w:t>
      </w:r>
      <w:r w:rsidRPr="00194021">
        <w:rPr>
          <w:rFonts w:asciiTheme="minorBidi" w:hAnsiTheme="minorBidi" w:cstheme="minorBidi"/>
          <w:sz w:val="24"/>
          <w:szCs w:val="24"/>
        </w:rPr>
        <w:t xml:space="preserve">“Structural Impairments That Limit Access to Health Care for Patients with Disabilities,” </w:t>
      </w:r>
      <w:r w:rsidRPr="00194021">
        <w:rPr>
          <w:rFonts w:asciiTheme="minorBidi" w:hAnsiTheme="minorBidi" w:cstheme="minorBidi"/>
          <w:i/>
          <w:iCs/>
          <w:sz w:val="24"/>
          <w:szCs w:val="24"/>
        </w:rPr>
        <w:t>Journal of the American Medical Association</w:t>
      </w:r>
      <w:r w:rsidRPr="00194021">
        <w:rPr>
          <w:rFonts w:asciiTheme="minorBidi" w:hAnsiTheme="minorBidi" w:cstheme="minorBidi"/>
          <w:sz w:val="24"/>
          <w:szCs w:val="24"/>
        </w:rPr>
        <w:t xml:space="preserve"> 297, no. 10 (2007): 1121–25.</w:t>
      </w:r>
    </w:p>
  </w:endnote>
  <w:endnote w:id="61">
    <w:p w14:paraId="020E82EA" w14:textId="77777777" w:rsidR="001B5A3A" w:rsidRPr="00194021" w:rsidRDefault="001B5A3A" w:rsidP="00194021">
      <w:pPr>
        <w:pStyle w:val="EndnoteText"/>
        <w:suppressAutoHyphens/>
        <w:spacing w:after="200"/>
        <w:rPr>
          <w:rFonts w:asciiTheme="minorBidi" w:hAnsiTheme="minorBidi" w:cstheme="minorBidi"/>
          <w:sz w:val="24"/>
          <w:szCs w:val="24"/>
        </w:rPr>
      </w:pPr>
      <w:r w:rsidRPr="00194021">
        <w:rPr>
          <w:rStyle w:val="EndnoteReference"/>
          <w:rFonts w:asciiTheme="minorBidi" w:hAnsiTheme="minorBidi" w:cstheme="minorBidi"/>
          <w:sz w:val="24"/>
          <w:szCs w:val="24"/>
        </w:rPr>
        <w:endnoteRef/>
      </w:r>
      <w:r w:rsidRPr="00194021">
        <w:rPr>
          <w:rFonts w:asciiTheme="minorBidi" w:hAnsiTheme="minorBidi" w:cstheme="minorBidi"/>
          <w:sz w:val="24"/>
          <w:szCs w:val="24"/>
        </w:rPr>
        <w:t xml:space="preserve"> McDermott, Kimberly W., and H. Joanna Jiang, “Characteristics and Costs of Potentially Preventable Inpatient Stays, 2017.” </w:t>
      </w:r>
      <w:r w:rsidRPr="00194021">
        <w:rPr>
          <w:rFonts w:asciiTheme="minorBidi" w:hAnsiTheme="minorBidi" w:cstheme="minorBidi"/>
          <w:i/>
          <w:iCs/>
          <w:sz w:val="24"/>
          <w:szCs w:val="24"/>
        </w:rPr>
        <w:t>HCUP Statistical Brief #259</w:t>
      </w:r>
      <w:r w:rsidRPr="00194021">
        <w:rPr>
          <w:rFonts w:asciiTheme="minorBidi" w:hAnsiTheme="minorBidi" w:cstheme="minorBidi"/>
          <w:sz w:val="24"/>
          <w:szCs w:val="24"/>
        </w:rPr>
        <w:t xml:space="preserve"> (Agency for Healthcare Research and Quality, 2020).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Univers LT Std 45 Light">
    <w:altName w:val="Calibri"/>
    <w:panose1 w:val="020B0403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ITCFranklinGothicStd-Book">
    <w:altName w:val="Calibri"/>
    <w:panose1 w:val="00000000000000000000"/>
    <w:charset w:val="4D"/>
    <w:family w:val="auto"/>
    <w:notTrueType/>
    <w:pitch w:val="default"/>
    <w:sig w:usb0="00000003" w:usb1="00000000" w:usb2="00000000" w:usb3="00000000" w:csb0="00000001" w:csb1="00000000"/>
  </w:font>
  <w:font w:name="Times">
    <w:altName w:val="﷽﷽﷽﷽﷽﷽﷽﷽man"/>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ITCFranklinGothicStd-Demi">
    <w:panose1 w:val="00000000000000000000"/>
    <w:charset w:val="4D"/>
    <w:family w:val="auto"/>
    <w:notTrueType/>
    <w:pitch w:val="default"/>
    <w:sig w:usb0="00000003" w:usb1="00000000" w:usb2="00000000" w:usb3="00000000" w:csb0="00000001" w:csb1="00000000"/>
  </w:font>
  <w:font w:name="Arial Bold">
    <w:panose1 w:val="020B07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7129367"/>
      <w:docPartObj>
        <w:docPartGallery w:val="Page Numbers (Bottom of Page)"/>
        <w:docPartUnique/>
      </w:docPartObj>
    </w:sdtPr>
    <w:sdtEndPr>
      <w:rPr>
        <w:noProof/>
      </w:rPr>
    </w:sdtEndPr>
    <w:sdtContent>
      <w:p w14:paraId="4057695D" w14:textId="64BE2CE3" w:rsidR="00FA45AE" w:rsidRDefault="00FA45AE" w:rsidP="00FA45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4EECB" w14:textId="77777777" w:rsidR="00D4427B" w:rsidRPr="00BF1828" w:rsidRDefault="00D4427B" w:rsidP="00ED6DEE">
      <w:pPr>
        <w:spacing w:after="0" w:line="240" w:lineRule="auto"/>
      </w:pPr>
      <w:r w:rsidRPr="00BF1828">
        <w:separator/>
      </w:r>
    </w:p>
  </w:footnote>
  <w:footnote w:type="continuationSeparator" w:id="0">
    <w:p w14:paraId="3897CF48" w14:textId="77777777" w:rsidR="00D4427B" w:rsidRPr="00BF1828" w:rsidRDefault="00D4427B" w:rsidP="00ED6DEE">
      <w:pPr>
        <w:spacing w:after="0" w:line="240" w:lineRule="auto"/>
      </w:pPr>
      <w:r w:rsidRPr="00BF182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F4AA36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4E9C423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C21BB7"/>
    <w:multiLevelType w:val="multilevel"/>
    <w:tmpl w:val="E84AFAF0"/>
    <w:styleLink w:val="List1"/>
    <w:lvl w:ilvl="0">
      <w:numFmt w:val="bullet"/>
      <w:lvlText w:val="▪"/>
      <w:lvlJc w:val="left"/>
      <w:rPr>
        <w:rFonts w:ascii="Arial" w:eastAsia="Arial" w:hAnsi="Arial" w:cs="Arial"/>
        <w:color w:val="1F497D"/>
        <w:position w:val="0"/>
      </w:rPr>
    </w:lvl>
    <w:lvl w:ilvl="1">
      <w:start w:val="1"/>
      <w:numFmt w:val="bullet"/>
      <w:lvlText w:val="o"/>
      <w:lvlJc w:val="left"/>
      <w:rPr>
        <w:rFonts w:ascii="Arial" w:eastAsia="Arial" w:hAnsi="Arial" w:cs="Arial"/>
        <w:color w:val="1F497D"/>
        <w:position w:val="0"/>
      </w:rPr>
    </w:lvl>
    <w:lvl w:ilvl="2">
      <w:start w:val="1"/>
      <w:numFmt w:val="bullet"/>
      <w:lvlText w:val="▪"/>
      <w:lvlJc w:val="left"/>
      <w:rPr>
        <w:rFonts w:ascii="Arial" w:eastAsia="Arial" w:hAnsi="Arial" w:cs="Arial"/>
        <w:color w:val="1F497D"/>
        <w:position w:val="0"/>
      </w:rPr>
    </w:lvl>
    <w:lvl w:ilvl="3">
      <w:start w:val="1"/>
      <w:numFmt w:val="bullet"/>
      <w:lvlText w:val="•"/>
      <w:lvlJc w:val="left"/>
      <w:rPr>
        <w:rFonts w:ascii="Arial" w:eastAsia="Arial" w:hAnsi="Arial" w:cs="Arial"/>
        <w:color w:val="1F497D"/>
        <w:position w:val="0"/>
      </w:rPr>
    </w:lvl>
    <w:lvl w:ilvl="4">
      <w:start w:val="1"/>
      <w:numFmt w:val="bullet"/>
      <w:lvlText w:val="o"/>
      <w:lvlJc w:val="left"/>
      <w:rPr>
        <w:rFonts w:ascii="Arial" w:eastAsia="Arial" w:hAnsi="Arial" w:cs="Arial"/>
        <w:color w:val="1F497D"/>
        <w:position w:val="0"/>
      </w:rPr>
    </w:lvl>
    <w:lvl w:ilvl="5">
      <w:start w:val="1"/>
      <w:numFmt w:val="bullet"/>
      <w:lvlText w:val="▪"/>
      <w:lvlJc w:val="left"/>
      <w:rPr>
        <w:rFonts w:ascii="Arial" w:eastAsia="Arial" w:hAnsi="Arial" w:cs="Arial"/>
        <w:color w:val="1F497D"/>
        <w:position w:val="0"/>
      </w:rPr>
    </w:lvl>
    <w:lvl w:ilvl="6">
      <w:start w:val="1"/>
      <w:numFmt w:val="bullet"/>
      <w:lvlText w:val="•"/>
      <w:lvlJc w:val="left"/>
      <w:rPr>
        <w:rFonts w:ascii="Arial" w:eastAsia="Arial" w:hAnsi="Arial" w:cs="Arial"/>
        <w:color w:val="1F497D"/>
        <w:position w:val="0"/>
      </w:rPr>
    </w:lvl>
    <w:lvl w:ilvl="7">
      <w:start w:val="1"/>
      <w:numFmt w:val="bullet"/>
      <w:lvlText w:val="o"/>
      <w:lvlJc w:val="left"/>
      <w:rPr>
        <w:rFonts w:ascii="Arial" w:eastAsia="Arial" w:hAnsi="Arial" w:cs="Arial"/>
        <w:color w:val="1F497D"/>
        <w:position w:val="0"/>
      </w:rPr>
    </w:lvl>
    <w:lvl w:ilvl="8">
      <w:start w:val="1"/>
      <w:numFmt w:val="bullet"/>
      <w:lvlText w:val="▪"/>
      <w:lvlJc w:val="left"/>
      <w:rPr>
        <w:rFonts w:ascii="Arial" w:eastAsia="Arial" w:hAnsi="Arial" w:cs="Arial"/>
        <w:color w:val="1F497D"/>
        <w:position w:val="0"/>
      </w:rPr>
    </w:lvl>
  </w:abstractNum>
  <w:abstractNum w:abstractNumId="4" w15:restartNumberingAfterBreak="0">
    <w:nsid w:val="3A440A00"/>
    <w:multiLevelType w:val="hybridMultilevel"/>
    <w:tmpl w:val="DACA0314"/>
    <w:lvl w:ilvl="0" w:tplc="04090001">
      <w:start w:val="1"/>
      <w:numFmt w:val="bullet"/>
      <w:lvlText w:val=""/>
      <w:lvlJc w:val="left"/>
      <w:pPr>
        <w:ind w:left="720" w:hanging="360"/>
      </w:pPr>
      <w:rPr>
        <w:rFonts w:ascii="Symbol" w:hAnsi="Symbol" w:hint="default"/>
      </w:rPr>
    </w:lvl>
    <w:lvl w:ilvl="1" w:tplc="4FC23794">
      <w:start w:val="1"/>
      <w:numFmt w:val="bullet"/>
      <w:pStyle w:val="NCDBulletsLevel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DC4FDA"/>
    <w:multiLevelType w:val="hybridMultilevel"/>
    <w:tmpl w:val="9BA0C10E"/>
    <w:lvl w:ilvl="0" w:tplc="B638321C">
      <w:start w:val="1"/>
      <w:numFmt w:val="decimal"/>
      <w:pStyle w:val="TableNumbering"/>
      <w:lvlText w:val="%1."/>
      <w:lvlJc w:val="left"/>
      <w:pPr>
        <w:ind w:left="360" w:hanging="360"/>
      </w:pPr>
      <w:rPr>
        <w:rFonts w:ascii="Arial" w:hAnsi="Arial" w:cstheme="minorHAnsi" w:hint="default"/>
        <w:b w:val="0"/>
        <w:bCs w:val="0"/>
        <w:i w:val="0"/>
        <w:iCs w:val="0"/>
        <w:caps w:val="0"/>
        <w:strike w:val="0"/>
        <w:dstrike w:val="0"/>
        <w:vanish w:val="0"/>
        <w:color w:val="auto"/>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64679D"/>
    <w:multiLevelType w:val="multilevel"/>
    <w:tmpl w:val="61A20E64"/>
    <w:styleLink w:val="List21"/>
    <w:lvl w:ilvl="0">
      <w:numFmt w:val="bullet"/>
      <w:lvlText w:val="▪"/>
      <w:lvlJc w:val="left"/>
      <w:rPr>
        <w:rFonts w:ascii="Arial" w:eastAsia="Arial" w:hAnsi="Arial" w:cs="Arial"/>
        <w:color w:val="1F497D"/>
        <w:position w:val="0"/>
      </w:rPr>
    </w:lvl>
    <w:lvl w:ilvl="1">
      <w:start w:val="1"/>
      <w:numFmt w:val="bullet"/>
      <w:lvlText w:val="o"/>
      <w:lvlJc w:val="left"/>
      <w:rPr>
        <w:rFonts w:ascii="Arial" w:eastAsia="Arial" w:hAnsi="Arial" w:cs="Arial"/>
        <w:color w:val="1F497D"/>
        <w:position w:val="0"/>
      </w:rPr>
    </w:lvl>
    <w:lvl w:ilvl="2">
      <w:start w:val="1"/>
      <w:numFmt w:val="bullet"/>
      <w:lvlText w:val="▪"/>
      <w:lvlJc w:val="left"/>
      <w:rPr>
        <w:rFonts w:ascii="Arial" w:eastAsia="Arial" w:hAnsi="Arial" w:cs="Arial"/>
        <w:color w:val="1F497D"/>
        <w:position w:val="0"/>
      </w:rPr>
    </w:lvl>
    <w:lvl w:ilvl="3">
      <w:start w:val="1"/>
      <w:numFmt w:val="bullet"/>
      <w:lvlText w:val="•"/>
      <w:lvlJc w:val="left"/>
      <w:rPr>
        <w:rFonts w:ascii="Arial" w:eastAsia="Arial" w:hAnsi="Arial" w:cs="Arial"/>
        <w:color w:val="1F497D"/>
        <w:position w:val="0"/>
      </w:rPr>
    </w:lvl>
    <w:lvl w:ilvl="4">
      <w:start w:val="1"/>
      <w:numFmt w:val="bullet"/>
      <w:lvlText w:val="o"/>
      <w:lvlJc w:val="left"/>
      <w:rPr>
        <w:rFonts w:ascii="Arial" w:eastAsia="Arial" w:hAnsi="Arial" w:cs="Arial"/>
        <w:color w:val="1F497D"/>
        <w:position w:val="0"/>
      </w:rPr>
    </w:lvl>
    <w:lvl w:ilvl="5">
      <w:start w:val="1"/>
      <w:numFmt w:val="bullet"/>
      <w:lvlText w:val="▪"/>
      <w:lvlJc w:val="left"/>
      <w:rPr>
        <w:rFonts w:ascii="Arial" w:eastAsia="Arial" w:hAnsi="Arial" w:cs="Arial"/>
        <w:color w:val="1F497D"/>
        <w:position w:val="0"/>
      </w:rPr>
    </w:lvl>
    <w:lvl w:ilvl="6">
      <w:start w:val="1"/>
      <w:numFmt w:val="bullet"/>
      <w:lvlText w:val="•"/>
      <w:lvlJc w:val="left"/>
      <w:rPr>
        <w:rFonts w:ascii="Arial" w:eastAsia="Arial" w:hAnsi="Arial" w:cs="Arial"/>
        <w:color w:val="1F497D"/>
        <w:position w:val="0"/>
      </w:rPr>
    </w:lvl>
    <w:lvl w:ilvl="7">
      <w:start w:val="1"/>
      <w:numFmt w:val="bullet"/>
      <w:lvlText w:val="o"/>
      <w:lvlJc w:val="left"/>
      <w:rPr>
        <w:rFonts w:ascii="Arial" w:eastAsia="Arial" w:hAnsi="Arial" w:cs="Arial"/>
        <w:color w:val="1F497D"/>
        <w:position w:val="0"/>
      </w:rPr>
    </w:lvl>
    <w:lvl w:ilvl="8">
      <w:start w:val="1"/>
      <w:numFmt w:val="bullet"/>
      <w:lvlText w:val="▪"/>
      <w:lvlJc w:val="left"/>
      <w:rPr>
        <w:rFonts w:ascii="Arial" w:eastAsia="Arial" w:hAnsi="Arial" w:cs="Arial"/>
        <w:color w:val="1F497D"/>
        <w:position w:val="0"/>
      </w:rPr>
    </w:lvl>
  </w:abstractNum>
  <w:abstractNum w:abstractNumId="7" w15:restartNumberingAfterBreak="0">
    <w:nsid w:val="42587471"/>
    <w:multiLevelType w:val="multilevel"/>
    <w:tmpl w:val="B73E6D4A"/>
    <w:styleLink w:val="List0"/>
    <w:lvl w:ilvl="0">
      <w:numFmt w:val="bullet"/>
      <w:lvlText w:val="▪"/>
      <w:lvlJc w:val="left"/>
      <w:rPr>
        <w:color w:val="1F497D"/>
        <w:position w:val="0"/>
        <w:u w:color="FFFFFF"/>
      </w:rPr>
    </w:lvl>
    <w:lvl w:ilvl="1">
      <w:start w:val="1"/>
      <w:numFmt w:val="bullet"/>
      <w:lvlText w:val="o"/>
      <w:lvlJc w:val="left"/>
      <w:rPr>
        <w:color w:val="1F497D"/>
        <w:position w:val="0"/>
        <w:u w:color="FFFFFF"/>
      </w:rPr>
    </w:lvl>
    <w:lvl w:ilvl="2">
      <w:start w:val="1"/>
      <w:numFmt w:val="bullet"/>
      <w:lvlText w:val="▪"/>
      <w:lvlJc w:val="left"/>
      <w:rPr>
        <w:color w:val="1F497D"/>
        <w:position w:val="0"/>
        <w:u w:color="FFFFFF"/>
      </w:rPr>
    </w:lvl>
    <w:lvl w:ilvl="3">
      <w:start w:val="1"/>
      <w:numFmt w:val="bullet"/>
      <w:lvlText w:val="•"/>
      <w:lvlJc w:val="left"/>
      <w:rPr>
        <w:color w:val="1F497D"/>
        <w:position w:val="0"/>
        <w:u w:color="FFFFFF"/>
      </w:rPr>
    </w:lvl>
    <w:lvl w:ilvl="4">
      <w:start w:val="1"/>
      <w:numFmt w:val="bullet"/>
      <w:lvlText w:val="o"/>
      <w:lvlJc w:val="left"/>
      <w:rPr>
        <w:color w:val="1F497D"/>
        <w:position w:val="0"/>
        <w:u w:color="FFFFFF"/>
      </w:rPr>
    </w:lvl>
    <w:lvl w:ilvl="5">
      <w:start w:val="1"/>
      <w:numFmt w:val="bullet"/>
      <w:lvlText w:val="▪"/>
      <w:lvlJc w:val="left"/>
      <w:rPr>
        <w:color w:val="1F497D"/>
        <w:position w:val="0"/>
        <w:u w:color="FFFFFF"/>
      </w:rPr>
    </w:lvl>
    <w:lvl w:ilvl="6">
      <w:start w:val="1"/>
      <w:numFmt w:val="bullet"/>
      <w:lvlText w:val="•"/>
      <w:lvlJc w:val="left"/>
      <w:rPr>
        <w:color w:val="1F497D"/>
        <w:position w:val="0"/>
        <w:u w:color="FFFFFF"/>
      </w:rPr>
    </w:lvl>
    <w:lvl w:ilvl="7">
      <w:start w:val="1"/>
      <w:numFmt w:val="bullet"/>
      <w:lvlText w:val="o"/>
      <w:lvlJc w:val="left"/>
      <w:rPr>
        <w:color w:val="1F497D"/>
        <w:position w:val="0"/>
        <w:u w:color="FFFFFF"/>
      </w:rPr>
    </w:lvl>
    <w:lvl w:ilvl="8">
      <w:start w:val="1"/>
      <w:numFmt w:val="bullet"/>
      <w:lvlText w:val="▪"/>
      <w:lvlJc w:val="left"/>
      <w:rPr>
        <w:color w:val="1F497D"/>
        <w:position w:val="0"/>
        <w:u w:color="FFFFFF"/>
      </w:rPr>
    </w:lvl>
  </w:abstractNum>
  <w:abstractNum w:abstractNumId="8" w15:restartNumberingAfterBreak="0">
    <w:nsid w:val="49A5798C"/>
    <w:multiLevelType w:val="multilevel"/>
    <w:tmpl w:val="846A5BFE"/>
    <w:styleLink w:val="List311"/>
    <w:lvl w:ilvl="0">
      <w:numFmt w:val="bullet"/>
      <w:lvlText w:val="▪"/>
      <w:lvlJc w:val="left"/>
      <w:rPr>
        <w:rFonts w:ascii="Arial" w:eastAsia="Arial" w:hAnsi="Arial" w:cs="Arial"/>
        <w:color w:val="1F497D"/>
        <w:position w:val="0"/>
      </w:rPr>
    </w:lvl>
    <w:lvl w:ilvl="1">
      <w:start w:val="1"/>
      <w:numFmt w:val="bullet"/>
      <w:lvlText w:val="o"/>
      <w:lvlJc w:val="left"/>
      <w:rPr>
        <w:rFonts w:ascii="Arial" w:eastAsia="Arial" w:hAnsi="Arial" w:cs="Arial"/>
        <w:color w:val="1F497D"/>
        <w:position w:val="0"/>
      </w:rPr>
    </w:lvl>
    <w:lvl w:ilvl="2">
      <w:start w:val="1"/>
      <w:numFmt w:val="bullet"/>
      <w:lvlText w:val="▪"/>
      <w:lvlJc w:val="left"/>
      <w:rPr>
        <w:rFonts w:ascii="Arial" w:eastAsia="Arial" w:hAnsi="Arial" w:cs="Arial"/>
        <w:color w:val="1F497D"/>
        <w:position w:val="0"/>
      </w:rPr>
    </w:lvl>
    <w:lvl w:ilvl="3">
      <w:start w:val="1"/>
      <w:numFmt w:val="bullet"/>
      <w:lvlText w:val="•"/>
      <w:lvlJc w:val="left"/>
      <w:rPr>
        <w:rFonts w:ascii="Arial" w:eastAsia="Arial" w:hAnsi="Arial" w:cs="Arial"/>
        <w:color w:val="1F497D"/>
        <w:position w:val="0"/>
      </w:rPr>
    </w:lvl>
    <w:lvl w:ilvl="4">
      <w:start w:val="1"/>
      <w:numFmt w:val="bullet"/>
      <w:lvlText w:val="o"/>
      <w:lvlJc w:val="left"/>
      <w:rPr>
        <w:rFonts w:ascii="Arial" w:eastAsia="Arial" w:hAnsi="Arial" w:cs="Arial"/>
        <w:color w:val="1F497D"/>
        <w:position w:val="0"/>
      </w:rPr>
    </w:lvl>
    <w:lvl w:ilvl="5">
      <w:start w:val="1"/>
      <w:numFmt w:val="bullet"/>
      <w:lvlText w:val="▪"/>
      <w:lvlJc w:val="left"/>
      <w:rPr>
        <w:rFonts w:ascii="Arial" w:eastAsia="Arial" w:hAnsi="Arial" w:cs="Arial"/>
        <w:color w:val="1F497D"/>
        <w:position w:val="0"/>
      </w:rPr>
    </w:lvl>
    <w:lvl w:ilvl="6">
      <w:start w:val="1"/>
      <w:numFmt w:val="bullet"/>
      <w:lvlText w:val="•"/>
      <w:lvlJc w:val="left"/>
      <w:rPr>
        <w:rFonts w:ascii="Arial" w:eastAsia="Arial" w:hAnsi="Arial" w:cs="Arial"/>
        <w:color w:val="1F497D"/>
        <w:position w:val="0"/>
      </w:rPr>
    </w:lvl>
    <w:lvl w:ilvl="7">
      <w:start w:val="1"/>
      <w:numFmt w:val="bullet"/>
      <w:lvlText w:val="o"/>
      <w:lvlJc w:val="left"/>
      <w:rPr>
        <w:rFonts w:ascii="Arial" w:eastAsia="Arial" w:hAnsi="Arial" w:cs="Arial"/>
        <w:color w:val="1F497D"/>
        <w:position w:val="0"/>
      </w:rPr>
    </w:lvl>
    <w:lvl w:ilvl="8">
      <w:start w:val="1"/>
      <w:numFmt w:val="bullet"/>
      <w:lvlText w:val="▪"/>
      <w:lvlJc w:val="left"/>
      <w:rPr>
        <w:rFonts w:ascii="Arial" w:eastAsia="Arial" w:hAnsi="Arial" w:cs="Arial"/>
        <w:color w:val="1F497D"/>
        <w:position w:val="0"/>
      </w:rPr>
    </w:lvl>
  </w:abstractNum>
  <w:abstractNum w:abstractNumId="9" w15:restartNumberingAfterBreak="0">
    <w:nsid w:val="4A072237"/>
    <w:multiLevelType w:val="multilevel"/>
    <w:tmpl w:val="FD58C45E"/>
    <w:lvl w:ilvl="0">
      <w:start w:val="1"/>
      <w:numFmt w:val="bullet"/>
      <w:pStyle w:val="Bullet2"/>
      <w:lvlText w:val="–"/>
      <w:lvlJc w:val="left"/>
      <w:pPr>
        <w:ind w:left="1080" w:hanging="360"/>
      </w:pPr>
      <w:rPr>
        <w:rFonts w:ascii="Times New Roman" w:hAnsi="Times New Roman" w:cs="Times New Roman" w:hint="default"/>
        <w:b w:val="0"/>
        <w:i w:val="0"/>
        <w:color w:val="002C5F"/>
        <w:sz w:val="24"/>
      </w:rPr>
    </w:lvl>
    <w:lvl w:ilvl="1">
      <w:start w:val="1"/>
      <w:numFmt w:val="bullet"/>
      <w:pStyle w:val="ListBullet3"/>
      <w:lvlText w:val=""/>
      <w:lvlJc w:val="left"/>
      <w:pPr>
        <w:tabs>
          <w:tab w:val="num" w:pos="1440"/>
        </w:tabs>
        <w:ind w:left="1440" w:hanging="360"/>
      </w:pPr>
      <w:rPr>
        <w:rFonts w:ascii="Wingdings" w:hAnsi="Wingdings" w:hint="default"/>
        <w:color w:val="000000" w:themeColor="text1"/>
        <w:sz w:val="12"/>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1117EB"/>
    <w:multiLevelType w:val="multilevel"/>
    <w:tmpl w:val="8EB416CC"/>
    <w:styleLink w:val="Bullet"/>
    <w:lvl w:ilvl="0">
      <w:numFmt w:val="bullet"/>
      <w:lvlText w:val="•"/>
      <w:lvlJc w:val="left"/>
      <w:pPr>
        <w:tabs>
          <w:tab w:val="num" w:pos="196"/>
        </w:tabs>
        <w:ind w:left="196" w:hanging="196"/>
      </w:pPr>
      <w:rPr>
        <w:rFonts w:ascii="Calibri" w:eastAsia="Calibri" w:hAnsi="Calibri" w:cs="Calibri"/>
        <w:b w:val="0"/>
        <w:bCs w:val="0"/>
        <w:i w:val="0"/>
        <w:iCs w:val="0"/>
        <w:caps w:val="0"/>
        <w:smallCaps w:val="0"/>
        <w:strike w:val="0"/>
        <w:dstrike w:val="0"/>
        <w:color w:val="000000"/>
        <w:spacing w:val="0"/>
        <w:kern w:val="0"/>
        <w:position w:val="-2"/>
        <w:sz w:val="24"/>
        <w:szCs w:val="24"/>
        <w:u w:val="none" w:color="000000"/>
        <w:vertAlign w:val="baseline"/>
        <w:rtl w:val="0"/>
        <w14:textOutline w14:w="0" w14:cap="rnd" w14:cmpd="sng" w14:algn="ctr">
          <w14:noFill/>
          <w14:prstDash w14:val="solid"/>
          <w14:bevel/>
        </w14:textOutline>
      </w:rPr>
    </w:lvl>
    <w:lvl w:ilvl="1">
      <w:start w:val="1"/>
      <w:numFmt w:val="bullet"/>
      <w:lvlText w:val="•"/>
      <w:lvlJc w:val="left"/>
      <w:pPr>
        <w:tabs>
          <w:tab w:val="num" w:pos="376"/>
        </w:tabs>
        <w:ind w:left="376" w:hanging="196"/>
      </w:pPr>
      <w:rPr>
        <w:rFonts w:ascii="Calibri" w:eastAsia="Calibri" w:hAnsi="Calibri" w:cs="Calibri"/>
        <w:b w:val="0"/>
        <w:bCs w:val="0"/>
        <w:i w:val="0"/>
        <w:iCs w:val="0"/>
        <w:caps w:val="0"/>
        <w:smallCaps w:val="0"/>
        <w:strike w:val="0"/>
        <w:dstrike w:val="0"/>
        <w:color w:val="000000"/>
        <w:spacing w:val="0"/>
        <w:kern w:val="0"/>
        <w:position w:val="-2"/>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556"/>
        </w:tabs>
        <w:ind w:left="556" w:hanging="196"/>
      </w:pPr>
      <w:rPr>
        <w:rFonts w:ascii="Calibri" w:eastAsia="Calibri" w:hAnsi="Calibri" w:cs="Calibri"/>
        <w:b w:val="0"/>
        <w:bCs w:val="0"/>
        <w:i w:val="0"/>
        <w:iCs w:val="0"/>
        <w:caps w:val="0"/>
        <w:smallCaps w:val="0"/>
        <w:strike w:val="0"/>
        <w:dstrike w:val="0"/>
        <w:color w:val="000000"/>
        <w:spacing w:val="0"/>
        <w:kern w:val="0"/>
        <w:position w:val="-2"/>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736"/>
        </w:tabs>
        <w:ind w:left="736" w:hanging="196"/>
      </w:pPr>
      <w:rPr>
        <w:rFonts w:ascii="Calibri" w:eastAsia="Calibri" w:hAnsi="Calibri" w:cs="Calibri"/>
        <w:b w:val="0"/>
        <w:bCs w:val="0"/>
        <w:i w:val="0"/>
        <w:iCs w:val="0"/>
        <w:caps w:val="0"/>
        <w:smallCaps w:val="0"/>
        <w:strike w:val="0"/>
        <w:dstrike w:val="0"/>
        <w:color w:val="000000"/>
        <w:spacing w:val="0"/>
        <w:kern w:val="0"/>
        <w:position w:val="-2"/>
        <w:sz w:val="24"/>
        <w:szCs w:val="24"/>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916"/>
        </w:tabs>
        <w:ind w:left="916" w:hanging="196"/>
      </w:pPr>
      <w:rPr>
        <w:rFonts w:ascii="Calibri" w:eastAsia="Calibri" w:hAnsi="Calibri" w:cs="Calibri"/>
        <w:b w:val="0"/>
        <w:bCs w:val="0"/>
        <w:i w:val="0"/>
        <w:iCs w:val="0"/>
        <w:caps w:val="0"/>
        <w:smallCaps w:val="0"/>
        <w:strike w:val="0"/>
        <w:dstrike w:val="0"/>
        <w:color w:val="000000"/>
        <w:spacing w:val="0"/>
        <w:kern w:val="0"/>
        <w:position w:val="-2"/>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096"/>
        </w:tabs>
        <w:ind w:left="1096" w:hanging="196"/>
      </w:pPr>
      <w:rPr>
        <w:rFonts w:ascii="Calibri" w:eastAsia="Calibri" w:hAnsi="Calibri" w:cs="Calibri"/>
        <w:b w:val="0"/>
        <w:bCs w:val="0"/>
        <w:i w:val="0"/>
        <w:iCs w:val="0"/>
        <w:caps w:val="0"/>
        <w:smallCaps w:val="0"/>
        <w:strike w:val="0"/>
        <w:dstrike w:val="0"/>
        <w:color w:val="000000"/>
        <w:spacing w:val="0"/>
        <w:kern w:val="0"/>
        <w:position w:val="-2"/>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1276"/>
        </w:tabs>
        <w:ind w:left="1276" w:hanging="196"/>
      </w:pPr>
      <w:rPr>
        <w:rFonts w:ascii="Calibri" w:eastAsia="Calibri" w:hAnsi="Calibri" w:cs="Calibri"/>
        <w:b w:val="0"/>
        <w:bCs w:val="0"/>
        <w:i w:val="0"/>
        <w:iCs w:val="0"/>
        <w:caps w:val="0"/>
        <w:smallCaps w:val="0"/>
        <w:strike w:val="0"/>
        <w:dstrike w:val="0"/>
        <w:color w:val="000000"/>
        <w:spacing w:val="0"/>
        <w:kern w:val="0"/>
        <w:position w:val="-2"/>
        <w:sz w:val="24"/>
        <w:szCs w:val="24"/>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1456"/>
        </w:tabs>
        <w:ind w:left="1456" w:hanging="196"/>
      </w:pPr>
      <w:rPr>
        <w:rFonts w:ascii="Calibri" w:eastAsia="Calibri" w:hAnsi="Calibri" w:cs="Calibri"/>
        <w:b w:val="0"/>
        <w:bCs w:val="0"/>
        <w:i w:val="0"/>
        <w:iCs w:val="0"/>
        <w:caps w:val="0"/>
        <w:smallCaps w:val="0"/>
        <w:strike w:val="0"/>
        <w:dstrike w:val="0"/>
        <w:color w:val="000000"/>
        <w:spacing w:val="0"/>
        <w:kern w:val="0"/>
        <w:position w:val="-2"/>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1636"/>
        </w:tabs>
        <w:ind w:left="1636" w:hanging="196"/>
      </w:pPr>
      <w:rPr>
        <w:rFonts w:ascii="Calibri" w:eastAsia="Calibri" w:hAnsi="Calibri" w:cs="Calibri"/>
        <w:b w:val="0"/>
        <w:bCs w:val="0"/>
        <w:i w:val="0"/>
        <w:iCs w:val="0"/>
        <w:caps w:val="0"/>
        <w:smallCaps w:val="0"/>
        <w:strike w:val="0"/>
        <w:dstrike w:val="0"/>
        <w:color w:val="000000"/>
        <w:spacing w:val="0"/>
        <w:kern w:val="0"/>
        <w:position w:val="-2"/>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51950CB3"/>
    <w:multiLevelType w:val="hybridMultilevel"/>
    <w:tmpl w:val="AD1E0CD6"/>
    <w:lvl w:ilvl="0" w:tplc="F2F2F7A4">
      <w:start w:val="1"/>
      <w:numFmt w:val="bullet"/>
      <w:pStyle w:val="NCDTextBoxBullets"/>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332C9C"/>
    <w:multiLevelType w:val="hybridMultilevel"/>
    <w:tmpl w:val="E25ED80C"/>
    <w:lvl w:ilvl="0" w:tplc="0409000F">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25E2961"/>
    <w:multiLevelType w:val="multilevel"/>
    <w:tmpl w:val="5EC0862A"/>
    <w:styleLink w:val="Bullet1"/>
    <w:lvl w:ilvl="0">
      <w:numFmt w:val="bullet"/>
      <w:lvlText w:val="▪"/>
      <w:lvlJc w:val="left"/>
      <w:rPr>
        <w:color w:val="1F497D"/>
        <w:position w:val="0"/>
        <w:u w:color="FFFFFF"/>
      </w:rPr>
    </w:lvl>
    <w:lvl w:ilvl="1">
      <w:start w:val="1"/>
      <w:numFmt w:val="bullet"/>
      <w:lvlText w:val="o"/>
      <w:lvlJc w:val="left"/>
      <w:rPr>
        <w:color w:val="1F497D"/>
        <w:position w:val="0"/>
        <w:u w:color="FFFFFF"/>
      </w:rPr>
    </w:lvl>
    <w:lvl w:ilvl="2">
      <w:start w:val="1"/>
      <w:numFmt w:val="bullet"/>
      <w:lvlText w:val="▪"/>
      <w:lvlJc w:val="left"/>
      <w:rPr>
        <w:color w:val="1F497D"/>
        <w:position w:val="0"/>
        <w:u w:color="FFFFFF"/>
      </w:rPr>
    </w:lvl>
    <w:lvl w:ilvl="3">
      <w:start w:val="1"/>
      <w:numFmt w:val="bullet"/>
      <w:lvlText w:val="•"/>
      <w:lvlJc w:val="left"/>
      <w:rPr>
        <w:color w:val="1F497D"/>
        <w:position w:val="0"/>
        <w:u w:color="FFFFFF"/>
      </w:rPr>
    </w:lvl>
    <w:lvl w:ilvl="4">
      <w:start w:val="1"/>
      <w:numFmt w:val="bullet"/>
      <w:lvlText w:val="o"/>
      <w:lvlJc w:val="left"/>
      <w:rPr>
        <w:color w:val="1F497D"/>
        <w:position w:val="0"/>
        <w:u w:color="FFFFFF"/>
      </w:rPr>
    </w:lvl>
    <w:lvl w:ilvl="5">
      <w:start w:val="1"/>
      <w:numFmt w:val="bullet"/>
      <w:lvlText w:val="▪"/>
      <w:lvlJc w:val="left"/>
      <w:rPr>
        <w:color w:val="1F497D"/>
        <w:position w:val="0"/>
        <w:u w:color="FFFFFF"/>
      </w:rPr>
    </w:lvl>
    <w:lvl w:ilvl="6">
      <w:start w:val="1"/>
      <w:numFmt w:val="bullet"/>
      <w:lvlText w:val="•"/>
      <w:lvlJc w:val="left"/>
      <w:rPr>
        <w:color w:val="1F497D"/>
        <w:position w:val="0"/>
        <w:u w:color="FFFFFF"/>
      </w:rPr>
    </w:lvl>
    <w:lvl w:ilvl="7">
      <w:start w:val="1"/>
      <w:numFmt w:val="bullet"/>
      <w:lvlText w:val="o"/>
      <w:lvlJc w:val="left"/>
      <w:rPr>
        <w:color w:val="1F497D"/>
        <w:position w:val="0"/>
        <w:u w:color="FFFFFF"/>
      </w:rPr>
    </w:lvl>
    <w:lvl w:ilvl="8">
      <w:start w:val="1"/>
      <w:numFmt w:val="bullet"/>
      <w:lvlText w:val="▪"/>
      <w:lvlJc w:val="left"/>
      <w:rPr>
        <w:color w:val="1F497D"/>
        <w:position w:val="0"/>
        <w:u w:color="FFFFFF"/>
      </w:rPr>
    </w:lvl>
  </w:abstractNum>
  <w:abstractNum w:abstractNumId="14" w15:restartNumberingAfterBreak="0">
    <w:nsid w:val="537E4F6B"/>
    <w:multiLevelType w:val="multilevel"/>
    <w:tmpl w:val="EA543000"/>
    <w:styleLink w:val="List211"/>
    <w:lvl w:ilvl="0">
      <w:numFmt w:val="bullet"/>
      <w:lvlText w:val="▪"/>
      <w:lvlJc w:val="left"/>
      <w:rPr>
        <w:color w:val="1F497D"/>
        <w:position w:val="0"/>
        <w:u w:color="FFFFFF"/>
      </w:rPr>
    </w:lvl>
    <w:lvl w:ilvl="1">
      <w:start w:val="1"/>
      <w:numFmt w:val="bullet"/>
      <w:lvlText w:val="o"/>
      <w:lvlJc w:val="left"/>
      <w:rPr>
        <w:color w:val="1F497D"/>
        <w:position w:val="0"/>
        <w:u w:color="FFFFFF"/>
      </w:rPr>
    </w:lvl>
    <w:lvl w:ilvl="2">
      <w:start w:val="1"/>
      <w:numFmt w:val="bullet"/>
      <w:lvlText w:val="▪"/>
      <w:lvlJc w:val="left"/>
      <w:rPr>
        <w:color w:val="1F497D"/>
        <w:position w:val="0"/>
        <w:u w:color="FFFFFF"/>
      </w:rPr>
    </w:lvl>
    <w:lvl w:ilvl="3">
      <w:start w:val="1"/>
      <w:numFmt w:val="bullet"/>
      <w:lvlText w:val="•"/>
      <w:lvlJc w:val="left"/>
      <w:rPr>
        <w:color w:val="1F497D"/>
        <w:position w:val="0"/>
        <w:u w:color="FFFFFF"/>
      </w:rPr>
    </w:lvl>
    <w:lvl w:ilvl="4">
      <w:start w:val="1"/>
      <w:numFmt w:val="bullet"/>
      <w:lvlText w:val="o"/>
      <w:lvlJc w:val="left"/>
      <w:rPr>
        <w:color w:val="1F497D"/>
        <w:position w:val="0"/>
        <w:u w:color="FFFFFF"/>
      </w:rPr>
    </w:lvl>
    <w:lvl w:ilvl="5">
      <w:start w:val="1"/>
      <w:numFmt w:val="bullet"/>
      <w:lvlText w:val="▪"/>
      <w:lvlJc w:val="left"/>
      <w:rPr>
        <w:color w:val="1F497D"/>
        <w:position w:val="0"/>
        <w:u w:color="FFFFFF"/>
      </w:rPr>
    </w:lvl>
    <w:lvl w:ilvl="6">
      <w:start w:val="1"/>
      <w:numFmt w:val="bullet"/>
      <w:lvlText w:val="•"/>
      <w:lvlJc w:val="left"/>
      <w:rPr>
        <w:color w:val="1F497D"/>
        <w:position w:val="0"/>
        <w:u w:color="FFFFFF"/>
      </w:rPr>
    </w:lvl>
    <w:lvl w:ilvl="7">
      <w:start w:val="1"/>
      <w:numFmt w:val="bullet"/>
      <w:lvlText w:val="o"/>
      <w:lvlJc w:val="left"/>
      <w:rPr>
        <w:color w:val="1F497D"/>
        <w:position w:val="0"/>
        <w:u w:color="FFFFFF"/>
      </w:rPr>
    </w:lvl>
    <w:lvl w:ilvl="8">
      <w:start w:val="1"/>
      <w:numFmt w:val="bullet"/>
      <w:lvlText w:val="▪"/>
      <w:lvlJc w:val="left"/>
      <w:rPr>
        <w:color w:val="1F497D"/>
        <w:position w:val="0"/>
        <w:u w:color="FFFFFF"/>
      </w:rPr>
    </w:lvl>
  </w:abstractNum>
  <w:abstractNum w:abstractNumId="15" w15:restartNumberingAfterBreak="0">
    <w:nsid w:val="58062710"/>
    <w:multiLevelType w:val="multilevel"/>
    <w:tmpl w:val="B8FAC3FC"/>
    <w:styleLink w:val="List31"/>
    <w:lvl w:ilvl="0">
      <w:numFmt w:val="bullet"/>
      <w:lvlText w:val="▪"/>
      <w:lvlJc w:val="left"/>
      <w:rPr>
        <w:rFonts w:ascii="Arial" w:eastAsia="Arial" w:hAnsi="Arial" w:cs="Arial"/>
        <w:color w:val="1F497D"/>
        <w:spacing w:val="0"/>
        <w:position w:val="0"/>
      </w:rPr>
    </w:lvl>
    <w:lvl w:ilvl="1">
      <w:start w:val="1"/>
      <w:numFmt w:val="bullet"/>
      <w:lvlText w:val="o"/>
      <w:lvlJc w:val="left"/>
      <w:rPr>
        <w:rFonts w:ascii="Arial" w:eastAsia="Arial" w:hAnsi="Arial" w:cs="Arial"/>
        <w:color w:val="1F497D"/>
        <w:spacing w:val="0"/>
        <w:position w:val="0"/>
      </w:rPr>
    </w:lvl>
    <w:lvl w:ilvl="2">
      <w:start w:val="1"/>
      <w:numFmt w:val="bullet"/>
      <w:lvlText w:val="▪"/>
      <w:lvlJc w:val="left"/>
      <w:rPr>
        <w:rFonts w:ascii="Arial" w:eastAsia="Arial" w:hAnsi="Arial" w:cs="Arial"/>
        <w:color w:val="1F497D"/>
        <w:spacing w:val="0"/>
        <w:position w:val="0"/>
      </w:rPr>
    </w:lvl>
    <w:lvl w:ilvl="3">
      <w:start w:val="1"/>
      <w:numFmt w:val="bullet"/>
      <w:lvlText w:val="•"/>
      <w:lvlJc w:val="left"/>
      <w:rPr>
        <w:rFonts w:ascii="Arial" w:eastAsia="Arial" w:hAnsi="Arial" w:cs="Arial"/>
        <w:color w:val="1F497D"/>
        <w:spacing w:val="0"/>
        <w:position w:val="0"/>
      </w:rPr>
    </w:lvl>
    <w:lvl w:ilvl="4">
      <w:start w:val="1"/>
      <w:numFmt w:val="bullet"/>
      <w:lvlText w:val="o"/>
      <w:lvlJc w:val="left"/>
      <w:rPr>
        <w:rFonts w:ascii="Arial" w:eastAsia="Arial" w:hAnsi="Arial" w:cs="Arial"/>
        <w:color w:val="1F497D"/>
        <w:spacing w:val="0"/>
        <w:position w:val="0"/>
      </w:rPr>
    </w:lvl>
    <w:lvl w:ilvl="5">
      <w:start w:val="1"/>
      <w:numFmt w:val="bullet"/>
      <w:lvlText w:val="▪"/>
      <w:lvlJc w:val="left"/>
      <w:rPr>
        <w:rFonts w:ascii="Arial" w:eastAsia="Arial" w:hAnsi="Arial" w:cs="Arial"/>
        <w:color w:val="1F497D"/>
        <w:spacing w:val="0"/>
        <w:position w:val="0"/>
      </w:rPr>
    </w:lvl>
    <w:lvl w:ilvl="6">
      <w:start w:val="1"/>
      <w:numFmt w:val="bullet"/>
      <w:lvlText w:val="•"/>
      <w:lvlJc w:val="left"/>
      <w:rPr>
        <w:rFonts w:ascii="Arial" w:eastAsia="Arial" w:hAnsi="Arial" w:cs="Arial"/>
        <w:color w:val="1F497D"/>
        <w:spacing w:val="0"/>
        <w:position w:val="0"/>
      </w:rPr>
    </w:lvl>
    <w:lvl w:ilvl="7">
      <w:start w:val="1"/>
      <w:numFmt w:val="bullet"/>
      <w:lvlText w:val="o"/>
      <w:lvlJc w:val="left"/>
      <w:rPr>
        <w:rFonts w:ascii="Arial" w:eastAsia="Arial" w:hAnsi="Arial" w:cs="Arial"/>
        <w:color w:val="1F497D"/>
        <w:spacing w:val="0"/>
        <w:position w:val="0"/>
      </w:rPr>
    </w:lvl>
    <w:lvl w:ilvl="8">
      <w:start w:val="1"/>
      <w:numFmt w:val="bullet"/>
      <w:lvlText w:val="▪"/>
      <w:lvlJc w:val="left"/>
      <w:rPr>
        <w:rFonts w:ascii="Arial" w:eastAsia="Arial" w:hAnsi="Arial" w:cs="Arial"/>
        <w:color w:val="1F497D"/>
        <w:spacing w:val="0"/>
        <w:position w:val="0"/>
      </w:rPr>
    </w:lvl>
  </w:abstractNum>
  <w:abstractNum w:abstractNumId="16"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A141AC"/>
    <w:multiLevelType w:val="hybridMultilevel"/>
    <w:tmpl w:val="E056D2D8"/>
    <w:lvl w:ilvl="0" w:tplc="D88E7D56">
      <w:start w:val="1"/>
      <w:numFmt w:val="bullet"/>
      <w:pStyle w:val="Bullet3"/>
      <w:lvlText w:val="■"/>
      <w:lvlJc w:val="left"/>
      <w:pPr>
        <w:ind w:left="1080" w:hanging="360"/>
      </w:pPr>
      <w:rPr>
        <w:rFonts w:ascii="Times New Roman" w:hAnsi="Times New Roman" w:cs="Times New Roman" w:hint="default"/>
        <w:b w:val="0"/>
        <w:i w:val="0"/>
        <w:color w:val="002C5F"/>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DB81B9B"/>
    <w:multiLevelType w:val="multilevel"/>
    <w:tmpl w:val="03C2830E"/>
    <w:lvl w:ilvl="0">
      <w:start w:val="1"/>
      <w:numFmt w:val="bullet"/>
      <w:pStyle w:val="Bullet10"/>
      <w:lvlText w:val="●"/>
      <w:lvlJc w:val="left"/>
      <w:pPr>
        <w:ind w:left="360" w:hanging="360"/>
      </w:pPr>
      <w:rPr>
        <w:rFonts w:ascii="Times New Roman" w:hAnsi="Times New Roman" w:cs="Times New Roman" w:hint="default"/>
        <w:b w:val="0"/>
        <w:i w:val="0"/>
        <w:color w:val="002C5F"/>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F72603E"/>
    <w:multiLevelType w:val="hybridMultilevel"/>
    <w:tmpl w:val="884EBCAC"/>
    <w:lvl w:ilvl="0" w:tplc="91669056">
      <w:start w:val="1"/>
      <w:numFmt w:val="bullet"/>
      <w:pStyle w:val="NCDBulletsLevel1"/>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723E00"/>
    <w:multiLevelType w:val="hybridMultilevel"/>
    <w:tmpl w:val="72B4D5D4"/>
    <w:lvl w:ilvl="0" w:tplc="C19E5DE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524AED"/>
    <w:multiLevelType w:val="hybridMultilevel"/>
    <w:tmpl w:val="70144A32"/>
    <w:lvl w:ilvl="0" w:tplc="E5D0E92E">
      <w:start w:val="1"/>
      <w:numFmt w:val="bullet"/>
      <w:pStyle w:val="TableBullet1"/>
      <w:lvlText w:val="●"/>
      <w:lvlJc w:val="left"/>
      <w:pPr>
        <w:ind w:left="360" w:hanging="360"/>
      </w:pPr>
      <w:rPr>
        <w:rFonts w:ascii="Arial" w:hAnsi="Arial" w:hint="default"/>
        <w:color w:val="000000" w:themeColor="text1"/>
        <w:sz w:val="20"/>
      </w:rPr>
    </w:lvl>
    <w:lvl w:ilvl="1" w:tplc="E79A92C0">
      <w:start w:val="1"/>
      <w:numFmt w:val="bullet"/>
      <w:lvlText w:val=""/>
      <w:lvlJc w:val="left"/>
      <w:pPr>
        <w:ind w:left="1440" w:hanging="360"/>
      </w:pPr>
      <w:rPr>
        <w:rFonts w:ascii="Wingdings" w:hAnsi="Wingdings" w:hint="default"/>
        <w:color w:val="4B76A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A4D26"/>
    <w:multiLevelType w:val="hybridMultilevel"/>
    <w:tmpl w:val="DCCE747E"/>
    <w:lvl w:ilvl="0" w:tplc="0409000F">
      <w:start w:val="1"/>
      <w:numFmt w:val="decimal"/>
      <w:lvlText w:val="%1."/>
      <w:lvlJc w:val="left"/>
      <w:pPr>
        <w:ind w:left="720" w:hanging="360"/>
      </w:pPr>
    </w:lvl>
    <w:lvl w:ilvl="1" w:tplc="936C3B56">
      <w:start w:val="1"/>
      <w:numFmt w:val="lowerLetter"/>
      <w:pStyle w:val="NumberedList2"/>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827045"/>
    <w:multiLevelType w:val="hybridMultilevel"/>
    <w:tmpl w:val="52C49188"/>
    <w:lvl w:ilvl="0" w:tplc="2B8887C0">
      <w:start w:val="1"/>
      <w:numFmt w:val="bullet"/>
      <w:pStyle w:val="TableBullet2"/>
      <w:lvlText w:val="–"/>
      <w:lvlJc w:val="left"/>
      <w:pPr>
        <w:ind w:left="630" w:hanging="360"/>
      </w:pPr>
      <w:rPr>
        <w:rFonts w:ascii="Times New Roman" w:hAnsi="Times New Roman" w:cs="Times New Roman" w:hint="default"/>
        <w:b w:val="0"/>
        <w:i w:val="0"/>
        <w:color w:val="002C5F"/>
        <w:sz w:val="24"/>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114403590">
    <w:abstractNumId w:val="19"/>
  </w:num>
  <w:num w:numId="2" w16cid:durableId="25647384">
    <w:abstractNumId w:val="4"/>
  </w:num>
  <w:num w:numId="3" w16cid:durableId="1665232732">
    <w:abstractNumId w:val="11"/>
  </w:num>
  <w:num w:numId="4" w16cid:durableId="1328023549">
    <w:abstractNumId w:val="13"/>
  </w:num>
  <w:num w:numId="5" w16cid:durableId="1404570787">
    <w:abstractNumId w:val="14"/>
  </w:num>
  <w:num w:numId="6" w16cid:durableId="1092430237">
    <w:abstractNumId w:val="7"/>
  </w:num>
  <w:num w:numId="7" w16cid:durableId="646714045">
    <w:abstractNumId w:val="8"/>
  </w:num>
  <w:num w:numId="8" w16cid:durableId="1116099686">
    <w:abstractNumId w:val="3"/>
  </w:num>
  <w:num w:numId="9" w16cid:durableId="1970282175">
    <w:abstractNumId w:val="10"/>
  </w:num>
  <w:num w:numId="10" w16cid:durableId="1787506685">
    <w:abstractNumId w:val="6"/>
  </w:num>
  <w:num w:numId="11" w16cid:durableId="1094664735">
    <w:abstractNumId w:val="15"/>
  </w:num>
  <w:num w:numId="12" w16cid:durableId="1236935872">
    <w:abstractNumId w:val="1"/>
  </w:num>
  <w:num w:numId="13" w16cid:durableId="1889367792">
    <w:abstractNumId w:val="18"/>
  </w:num>
  <w:num w:numId="14" w16cid:durableId="1896234515">
    <w:abstractNumId w:val="0"/>
  </w:num>
  <w:num w:numId="15" w16cid:durableId="522283613">
    <w:abstractNumId w:val="9"/>
  </w:num>
  <w:num w:numId="16" w16cid:durableId="1973900910">
    <w:abstractNumId w:val="17"/>
  </w:num>
  <w:num w:numId="17" w16cid:durableId="1195578053">
    <w:abstractNumId w:val="2"/>
  </w:num>
  <w:num w:numId="18" w16cid:durableId="1918974452">
    <w:abstractNumId w:val="16"/>
  </w:num>
  <w:num w:numId="19" w16cid:durableId="161775418">
    <w:abstractNumId w:val="20"/>
  </w:num>
  <w:num w:numId="20" w16cid:durableId="1498107014">
    <w:abstractNumId w:val="21"/>
  </w:num>
  <w:num w:numId="21" w16cid:durableId="157045393">
    <w:abstractNumId w:val="23"/>
  </w:num>
  <w:num w:numId="22" w16cid:durableId="1417552306">
    <w:abstractNumId w:val="5"/>
  </w:num>
  <w:num w:numId="23" w16cid:durableId="773942028">
    <w:abstractNumId w:val="22"/>
  </w:num>
  <w:num w:numId="24" w16cid:durableId="505901683">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0B6"/>
    <w:rsid w:val="00001056"/>
    <w:rsid w:val="00001D6C"/>
    <w:rsid w:val="00001EA8"/>
    <w:rsid w:val="0000292E"/>
    <w:rsid w:val="00002A8F"/>
    <w:rsid w:val="00003639"/>
    <w:rsid w:val="00003BDD"/>
    <w:rsid w:val="00003FC5"/>
    <w:rsid w:val="000040B7"/>
    <w:rsid w:val="00004ADA"/>
    <w:rsid w:val="00004B56"/>
    <w:rsid w:val="00004B67"/>
    <w:rsid w:val="00004FDD"/>
    <w:rsid w:val="00006EC9"/>
    <w:rsid w:val="00010BE4"/>
    <w:rsid w:val="00010DC9"/>
    <w:rsid w:val="000115C1"/>
    <w:rsid w:val="000116CE"/>
    <w:rsid w:val="00012E1D"/>
    <w:rsid w:val="00013130"/>
    <w:rsid w:val="00013CB3"/>
    <w:rsid w:val="00013EF9"/>
    <w:rsid w:val="00014A32"/>
    <w:rsid w:val="00014B07"/>
    <w:rsid w:val="00014E71"/>
    <w:rsid w:val="00014FDC"/>
    <w:rsid w:val="000150DC"/>
    <w:rsid w:val="00015A9E"/>
    <w:rsid w:val="00015FF9"/>
    <w:rsid w:val="0002011B"/>
    <w:rsid w:val="000202AD"/>
    <w:rsid w:val="0002077F"/>
    <w:rsid w:val="00022174"/>
    <w:rsid w:val="00022406"/>
    <w:rsid w:val="000224A1"/>
    <w:rsid w:val="00022954"/>
    <w:rsid w:val="00022C34"/>
    <w:rsid w:val="00023517"/>
    <w:rsid w:val="00024178"/>
    <w:rsid w:val="000243C9"/>
    <w:rsid w:val="000255A4"/>
    <w:rsid w:val="0002577F"/>
    <w:rsid w:val="00025AA8"/>
    <w:rsid w:val="00025BEF"/>
    <w:rsid w:val="000260A0"/>
    <w:rsid w:val="0002658D"/>
    <w:rsid w:val="00026BEE"/>
    <w:rsid w:val="000272F0"/>
    <w:rsid w:val="00027A06"/>
    <w:rsid w:val="00027FFC"/>
    <w:rsid w:val="000302DE"/>
    <w:rsid w:val="00030D5C"/>
    <w:rsid w:val="000315F9"/>
    <w:rsid w:val="0003167B"/>
    <w:rsid w:val="0003204B"/>
    <w:rsid w:val="0003334E"/>
    <w:rsid w:val="000340DA"/>
    <w:rsid w:val="000347B7"/>
    <w:rsid w:val="00034D86"/>
    <w:rsid w:val="00034E67"/>
    <w:rsid w:val="00034F33"/>
    <w:rsid w:val="00035092"/>
    <w:rsid w:val="000354C4"/>
    <w:rsid w:val="00035A4F"/>
    <w:rsid w:val="00035AD8"/>
    <w:rsid w:val="000361C1"/>
    <w:rsid w:val="00036367"/>
    <w:rsid w:val="00036953"/>
    <w:rsid w:val="00036DA0"/>
    <w:rsid w:val="000372CF"/>
    <w:rsid w:val="000401A7"/>
    <w:rsid w:val="00040B6D"/>
    <w:rsid w:val="0004114E"/>
    <w:rsid w:val="0004168A"/>
    <w:rsid w:val="00041752"/>
    <w:rsid w:val="00041C32"/>
    <w:rsid w:val="00042C73"/>
    <w:rsid w:val="00043C17"/>
    <w:rsid w:val="00044A3E"/>
    <w:rsid w:val="00044C76"/>
    <w:rsid w:val="00047406"/>
    <w:rsid w:val="00050056"/>
    <w:rsid w:val="00050489"/>
    <w:rsid w:val="00050532"/>
    <w:rsid w:val="00050A73"/>
    <w:rsid w:val="00051319"/>
    <w:rsid w:val="00051A1F"/>
    <w:rsid w:val="00052047"/>
    <w:rsid w:val="0005389D"/>
    <w:rsid w:val="000545DE"/>
    <w:rsid w:val="00054BD0"/>
    <w:rsid w:val="00055411"/>
    <w:rsid w:val="00056401"/>
    <w:rsid w:val="0005664E"/>
    <w:rsid w:val="00056DF6"/>
    <w:rsid w:val="0005737A"/>
    <w:rsid w:val="0006051D"/>
    <w:rsid w:val="00061BD3"/>
    <w:rsid w:val="000622E1"/>
    <w:rsid w:val="00062E40"/>
    <w:rsid w:val="000644B0"/>
    <w:rsid w:val="0006501A"/>
    <w:rsid w:val="000653CD"/>
    <w:rsid w:val="00065867"/>
    <w:rsid w:val="00065FA5"/>
    <w:rsid w:val="00066EBC"/>
    <w:rsid w:val="00066F2B"/>
    <w:rsid w:val="00067132"/>
    <w:rsid w:val="00067A13"/>
    <w:rsid w:val="00067CDB"/>
    <w:rsid w:val="0007029E"/>
    <w:rsid w:val="000702B3"/>
    <w:rsid w:val="00070BEA"/>
    <w:rsid w:val="00070CC8"/>
    <w:rsid w:val="00070CDC"/>
    <w:rsid w:val="00070D82"/>
    <w:rsid w:val="00071A28"/>
    <w:rsid w:val="00072C6D"/>
    <w:rsid w:val="00072ED0"/>
    <w:rsid w:val="0007355A"/>
    <w:rsid w:val="00073A6E"/>
    <w:rsid w:val="00074569"/>
    <w:rsid w:val="00075031"/>
    <w:rsid w:val="00075094"/>
    <w:rsid w:val="00075CF8"/>
    <w:rsid w:val="0007750B"/>
    <w:rsid w:val="00077C7F"/>
    <w:rsid w:val="00077DCE"/>
    <w:rsid w:val="00080209"/>
    <w:rsid w:val="000805AD"/>
    <w:rsid w:val="00080B53"/>
    <w:rsid w:val="00080BDC"/>
    <w:rsid w:val="00081ACA"/>
    <w:rsid w:val="00081F41"/>
    <w:rsid w:val="00082EDE"/>
    <w:rsid w:val="00083976"/>
    <w:rsid w:val="00083DE4"/>
    <w:rsid w:val="000842A1"/>
    <w:rsid w:val="00084640"/>
    <w:rsid w:val="00084B65"/>
    <w:rsid w:val="000852BA"/>
    <w:rsid w:val="0008565A"/>
    <w:rsid w:val="0008655A"/>
    <w:rsid w:val="0008658F"/>
    <w:rsid w:val="000873E0"/>
    <w:rsid w:val="00090178"/>
    <w:rsid w:val="00090207"/>
    <w:rsid w:val="000902EA"/>
    <w:rsid w:val="000906C6"/>
    <w:rsid w:val="00090769"/>
    <w:rsid w:val="000908D9"/>
    <w:rsid w:val="00090AAE"/>
    <w:rsid w:val="00090F2C"/>
    <w:rsid w:val="00091250"/>
    <w:rsid w:val="00091260"/>
    <w:rsid w:val="000918AE"/>
    <w:rsid w:val="00092732"/>
    <w:rsid w:val="0009309F"/>
    <w:rsid w:val="000938E9"/>
    <w:rsid w:val="000946A0"/>
    <w:rsid w:val="000947D1"/>
    <w:rsid w:val="00094FAD"/>
    <w:rsid w:val="00095428"/>
    <w:rsid w:val="00095BD2"/>
    <w:rsid w:val="00095C8A"/>
    <w:rsid w:val="000963C1"/>
    <w:rsid w:val="00096BD3"/>
    <w:rsid w:val="00097412"/>
    <w:rsid w:val="000977BC"/>
    <w:rsid w:val="00097F0C"/>
    <w:rsid w:val="000A006A"/>
    <w:rsid w:val="000A08F5"/>
    <w:rsid w:val="000A0D10"/>
    <w:rsid w:val="000A21A2"/>
    <w:rsid w:val="000A2657"/>
    <w:rsid w:val="000A271A"/>
    <w:rsid w:val="000A3137"/>
    <w:rsid w:val="000A3662"/>
    <w:rsid w:val="000A3F63"/>
    <w:rsid w:val="000A43EA"/>
    <w:rsid w:val="000A48F5"/>
    <w:rsid w:val="000A4E00"/>
    <w:rsid w:val="000A50D8"/>
    <w:rsid w:val="000A61D1"/>
    <w:rsid w:val="000A7D65"/>
    <w:rsid w:val="000B124C"/>
    <w:rsid w:val="000B27E6"/>
    <w:rsid w:val="000B29CC"/>
    <w:rsid w:val="000B2B5F"/>
    <w:rsid w:val="000B2DCC"/>
    <w:rsid w:val="000B445F"/>
    <w:rsid w:val="000B4B0B"/>
    <w:rsid w:val="000B4E37"/>
    <w:rsid w:val="000B53AD"/>
    <w:rsid w:val="000B5B5A"/>
    <w:rsid w:val="000B62B9"/>
    <w:rsid w:val="000B68C3"/>
    <w:rsid w:val="000B6B73"/>
    <w:rsid w:val="000B719D"/>
    <w:rsid w:val="000B75A1"/>
    <w:rsid w:val="000C0A99"/>
    <w:rsid w:val="000C0E07"/>
    <w:rsid w:val="000C1A63"/>
    <w:rsid w:val="000C2704"/>
    <w:rsid w:val="000C2A59"/>
    <w:rsid w:val="000C2D88"/>
    <w:rsid w:val="000C2EC0"/>
    <w:rsid w:val="000C2F24"/>
    <w:rsid w:val="000C37CE"/>
    <w:rsid w:val="000C3986"/>
    <w:rsid w:val="000C39FC"/>
    <w:rsid w:val="000C3B1D"/>
    <w:rsid w:val="000C49C4"/>
    <w:rsid w:val="000C4A66"/>
    <w:rsid w:val="000C4D62"/>
    <w:rsid w:val="000C5664"/>
    <w:rsid w:val="000C61C1"/>
    <w:rsid w:val="000C7820"/>
    <w:rsid w:val="000C7C19"/>
    <w:rsid w:val="000C7E85"/>
    <w:rsid w:val="000C7EA9"/>
    <w:rsid w:val="000D068F"/>
    <w:rsid w:val="000D0DC9"/>
    <w:rsid w:val="000D1168"/>
    <w:rsid w:val="000D1749"/>
    <w:rsid w:val="000D1BE5"/>
    <w:rsid w:val="000D20F5"/>
    <w:rsid w:val="000D25CB"/>
    <w:rsid w:val="000D3063"/>
    <w:rsid w:val="000D3779"/>
    <w:rsid w:val="000D4043"/>
    <w:rsid w:val="000D405E"/>
    <w:rsid w:val="000D4EAA"/>
    <w:rsid w:val="000D4FB1"/>
    <w:rsid w:val="000D5570"/>
    <w:rsid w:val="000D5A90"/>
    <w:rsid w:val="000D5FDA"/>
    <w:rsid w:val="000D6977"/>
    <w:rsid w:val="000D6ADC"/>
    <w:rsid w:val="000D736E"/>
    <w:rsid w:val="000E03A0"/>
    <w:rsid w:val="000E0B12"/>
    <w:rsid w:val="000E0BA6"/>
    <w:rsid w:val="000E10D9"/>
    <w:rsid w:val="000E1C32"/>
    <w:rsid w:val="000E2962"/>
    <w:rsid w:val="000E2997"/>
    <w:rsid w:val="000E2D04"/>
    <w:rsid w:val="000E30C6"/>
    <w:rsid w:val="000E3C98"/>
    <w:rsid w:val="000E41F9"/>
    <w:rsid w:val="000E4267"/>
    <w:rsid w:val="000E452B"/>
    <w:rsid w:val="000E458A"/>
    <w:rsid w:val="000E461B"/>
    <w:rsid w:val="000E4D3A"/>
    <w:rsid w:val="000E4DBF"/>
    <w:rsid w:val="000E4FC1"/>
    <w:rsid w:val="000E51DA"/>
    <w:rsid w:val="000E5B60"/>
    <w:rsid w:val="000E6116"/>
    <w:rsid w:val="000E6249"/>
    <w:rsid w:val="000E6777"/>
    <w:rsid w:val="000E6838"/>
    <w:rsid w:val="000E6C6F"/>
    <w:rsid w:val="000E72D5"/>
    <w:rsid w:val="000E7346"/>
    <w:rsid w:val="000F006A"/>
    <w:rsid w:val="000F055D"/>
    <w:rsid w:val="000F0BB6"/>
    <w:rsid w:val="000F10DC"/>
    <w:rsid w:val="000F125C"/>
    <w:rsid w:val="000F16FC"/>
    <w:rsid w:val="000F1E6E"/>
    <w:rsid w:val="000F2064"/>
    <w:rsid w:val="000F2FB7"/>
    <w:rsid w:val="000F3AE2"/>
    <w:rsid w:val="000F4192"/>
    <w:rsid w:val="000F5D45"/>
    <w:rsid w:val="000F6B6A"/>
    <w:rsid w:val="000F73EC"/>
    <w:rsid w:val="000F7492"/>
    <w:rsid w:val="000F782F"/>
    <w:rsid w:val="00100F6B"/>
    <w:rsid w:val="00101536"/>
    <w:rsid w:val="001017BA"/>
    <w:rsid w:val="0010326E"/>
    <w:rsid w:val="00103F21"/>
    <w:rsid w:val="001048E9"/>
    <w:rsid w:val="00104A7F"/>
    <w:rsid w:val="00105DB1"/>
    <w:rsid w:val="001060FE"/>
    <w:rsid w:val="00106C0B"/>
    <w:rsid w:val="0010798D"/>
    <w:rsid w:val="00110C2E"/>
    <w:rsid w:val="00110F23"/>
    <w:rsid w:val="00112149"/>
    <w:rsid w:val="0011282F"/>
    <w:rsid w:val="00112EB2"/>
    <w:rsid w:val="00113443"/>
    <w:rsid w:val="00113BE3"/>
    <w:rsid w:val="00113BFE"/>
    <w:rsid w:val="00113E53"/>
    <w:rsid w:val="00114B24"/>
    <w:rsid w:val="00115406"/>
    <w:rsid w:val="0011542B"/>
    <w:rsid w:val="001163F6"/>
    <w:rsid w:val="0011692F"/>
    <w:rsid w:val="001175B3"/>
    <w:rsid w:val="00117983"/>
    <w:rsid w:val="0012003E"/>
    <w:rsid w:val="00120E48"/>
    <w:rsid w:val="00121528"/>
    <w:rsid w:val="00121D42"/>
    <w:rsid w:val="00122FC3"/>
    <w:rsid w:val="00123513"/>
    <w:rsid w:val="00123882"/>
    <w:rsid w:val="001246D9"/>
    <w:rsid w:val="00125344"/>
    <w:rsid w:val="0012540C"/>
    <w:rsid w:val="001255A5"/>
    <w:rsid w:val="001259D1"/>
    <w:rsid w:val="00126B3A"/>
    <w:rsid w:val="00127674"/>
    <w:rsid w:val="0013005D"/>
    <w:rsid w:val="00130BC8"/>
    <w:rsid w:val="00131A08"/>
    <w:rsid w:val="00131A2C"/>
    <w:rsid w:val="00133DD3"/>
    <w:rsid w:val="00133EB5"/>
    <w:rsid w:val="0013430D"/>
    <w:rsid w:val="00135513"/>
    <w:rsid w:val="00136324"/>
    <w:rsid w:val="00136AE6"/>
    <w:rsid w:val="00136CEF"/>
    <w:rsid w:val="001373E1"/>
    <w:rsid w:val="00137510"/>
    <w:rsid w:val="0013759B"/>
    <w:rsid w:val="001376B7"/>
    <w:rsid w:val="00140602"/>
    <w:rsid w:val="00140F2E"/>
    <w:rsid w:val="001415E8"/>
    <w:rsid w:val="00141726"/>
    <w:rsid w:val="0014189B"/>
    <w:rsid w:val="00141E18"/>
    <w:rsid w:val="0014446A"/>
    <w:rsid w:val="001448E2"/>
    <w:rsid w:val="00145056"/>
    <w:rsid w:val="0014568B"/>
    <w:rsid w:val="00145BD3"/>
    <w:rsid w:val="001460FF"/>
    <w:rsid w:val="00146272"/>
    <w:rsid w:val="001468B6"/>
    <w:rsid w:val="00147ED9"/>
    <w:rsid w:val="00150497"/>
    <w:rsid w:val="001504EF"/>
    <w:rsid w:val="0015075B"/>
    <w:rsid w:val="00150E62"/>
    <w:rsid w:val="0015126D"/>
    <w:rsid w:val="001514D7"/>
    <w:rsid w:val="00151C0B"/>
    <w:rsid w:val="00151D25"/>
    <w:rsid w:val="00151E74"/>
    <w:rsid w:val="00152D2E"/>
    <w:rsid w:val="0015301D"/>
    <w:rsid w:val="001531F0"/>
    <w:rsid w:val="00153511"/>
    <w:rsid w:val="00153DE9"/>
    <w:rsid w:val="001544C6"/>
    <w:rsid w:val="00154A77"/>
    <w:rsid w:val="0015526C"/>
    <w:rsid w:val="00155B04"/>
    <w:rsid w:val="00156599"/>
    <w:rsid w:val="00156E44"/>
    <w:rsid w:val="00157D1A"/>
    <w:rsid w:val="00160C72"/>
    <w:rsid w:val="00160C8A"/>
    <w:rsid w:val="00160EC9"/>
    <w:rsid w:val="00161904"/>
    <w:rsid w:val="0016366A"/>
    <w:rsid w:val="00163FDC"/>
    <w:rsid w:val="00164131"/>
    <w:rsid w:val="00165323"/>
    <w:rsid w:val="001653A1"/>
    <w:rsid w:val="00165815"/>
    <w:rsid w:val="00165CE7"/>
    <w:rsid w:val="00166369"/>
    <w:rsid w:val="0016648F"/>
    <w:rsid w:val="00166616"/>
    <w:rsid w:val="001666B1"/>
    <w:rsid w:val="00170259"/>
    <w:rsid w:val="0017054C"/>
    <w:rsid w:val="00171044"/>
    <w:rsid w:val="00171235"/>
    <w:rsid w:val="00171697"/>
    <w:rsid w:val="001732C0"/>
    <w:rsid w:val="0017397A"/>
    <w:rsid w:val="001751EA"/>
    <w:rsid w:val="00175222"/>
    <w:rsid w:val="001752F1"/>
    <w:rsid w:val="00175904"/>
    <w:rsid w:val="00175941"/>
    <w:rsid w:val="00175D17"/>
    <w:rsid w:val="0017641C"/>
    <w:rsid w:val="0017668E"/>
    <w:rsid w:val="00176C45"/>
    <w:rsid w:val="00176C46"/>
    <w:rsid w:val="00177491"/>
    <w:rsid w:val="001776BE"/>
    <w:rsid w:val="00177E18"/>
    <w:rsid w:val="001800B8"/>
    <w:rsid w:val="0018081E"/>
    <w:rsid w:val="00180A78"/>
    <w:rsid w:val="00180D60"/>
    <w:rsid w:val="0018143D"/>
    <w:rsid w:val="00181630"/>
    <w:rsid w:val="001817D1"/>
    <w:rsid w:val="00182365"/>
    <w:rsid w:val="001827DA"/>
    <w:rsid w:val="00182E3F"/>
    <w:rsid w:val="00183557"/>
    <w:rsid w:val="00183714"/>
    <w:rsid w:val="00183A53"/>
    <w:rsid w:val="00184A40"/>
    <w:rsid w:val="00184A52"/>
    <w:rsid w:val="00186B80"/>
    <w:rsid w:val="00190252"/>
    <w:rsid w:val="001903FF"/>
    <w:rsid w:val="00190540"/>
    <w:rsid w:val="00190EC3"/>
    <w:rsid w:val="001919C1"/>
    <w:rsid w:val="001921E5"/>
    <w:rsid w:val="00192C7D"/>
    <w:rsid w:val="00193D4A"/>
    <w:rsid w:val="00194021"/>
    <w:rsid w:val="001946DF"/>
    <w:rsid w:val="00194CF3"/>
    <w:rsid w:val="001967BA"/>
    <w:rsid w:val="0019729D"/>
    <w:rsid w:val="00197637"/>
    <w:rsid w:val="001A0303"/>
    <w:rsid w:val="001A05E3"/>
    <w:rsid w:val="001A08C7"/>
    <w:rsid w:val="001A1B5E"/>
    <w:rsid w:val="001A203B"/>
    <w:rsid w:val="001A2B0D"/>
    <w:rsid w:val="001A3BED"/>
    <w:rsid w:val="001A4F59"/>
    <w:rsid w:val="001A5BC4"/>
    <w:rsid w:val="001A6214"/>
    <w:rsid w:val="001A6A13"/>
    <w:rsid w:val="001A6F42"/>
    <w:rsid w:val="001A717A"/>
    <w:rsid w:val="001A7FC6"/>
    <w:rsid w:val="001B0307"/>
    <w:rsid w:val="001B0628"/>
    <w:rsid w:val="001B0657"/>
    <w:rsid w:val="001B0C37"/>
    <w:rsid w:val="001B27E4"/>
    <w:rsid w:val="001B2B6A"/>
    <w:rsid w:val="001B2F48"/>
    <w:rsid w:val="001B3669"/>
    <w:rsid w:val="001B3B48"/>
    <w:rsid w:val="001B3E1E"/>
    <w:rsid w:val="001B52CB"/>
    <w:rsid w:val="001B5655"/>
    <w:rsid w:val="001B5A3A"/>
    <w:rsid w:val="001B6896"/>
    <w:rsid w:val="001B6D78"/>
    <w:rsid w:val="001B6E7D"/>
    <w:rsid w:val="001B7BDC"/>
    <w:rsid w:val="001B7F6B"/>
    <w:rsid w:val="001C0439"/>
    <w:rsid w:val="001C0B6D"/>
    <w:rsid w:val="001C0D64"/>
    <w:rsid w:val="001C102E"/>
    <w:rsid w:val="001C1E62"/>
    <w:rsid w:val="001C2B2D"/>
    <w:rsid w:val="001C2B61"/>
    <w:rsid w:val="001C2BCF"/>
    <w:rsid w:val="001C2CF3"/>
    <w:rsid w:val="001C2DA4"/>
    <w:rsid w:val="001C2EF3"/>
    <w:rsid w:val="001C2F40"/>
    <w:rsid w:val="001C3C6C"/>
    <w:rsid w:val="001C3E23"/>
    <w:rsid w:val="001C4317"/>
    <w:rsid w:val="001C5000"/>
    <w:rsid w:val="001C505A"/>
    <w:rsid w:val="001C5618"/>
    <w:rsid w:val="001C5C54"/>
    <w:rsid w:val="001C5CCF"/>
    <w:rsid w:val="001C6234"/>
    <w:rsid w:val="001C6543"/>
    <w:rsid w:val="001C6F80"/>
    <w:rsid w:val="001C7212"/>
    <w:rsid w:val="001C7F97"/>
    <w:rsid w:val="001D0630"/>
    <w:rsid w:val="001D300F"/>
    <w:rsid w:val="001D3DB8"/>
    <w:rsid w:val="001D41A2"/>
    <w:rsid w:val="001D4F07"/>
    <w:rsid w:val="001D52A0"/>
    <w:rsid w:val="001D592E"/>
    <w:rsid w:val="001D6211"/>
    <w:rsid w:val="001D63F1"/>
    <w:rsid w:val="001D6644"/>
    <w:rsid w:val="001E054B"/>
    <w:rsid w:val="001E1C81"/>
    <w:rsid w:val="001E1DF5"/>
    <w:rsid w:val="001E21B0"/>
    <w:rsid w:val="001E2481"/>
    <w:rsid w:val="001E2952"/>
    <w:rsid w:val="001E29D9"/>
    <w:rsid w:val="001E35BA"/>
    <w:rsid w:val="001E398A"/>
    <w:rsid w:val="001E3E17"/>
    <w:rsid w:val="001E3F70"/>
    <w:rsid w:val="001E4B15"/>
    <w:rsid w:val="001E4FB9"/>
    <w:rsid w:val="001E59EA"/>
    <w:rsid w:val="001E5BD8"/>
    <w:rsid w:val="001E720A"/>
    <w:rsid w:val="001E7BF0"/>
    <w:rsid w:val="001E7E03"/>
    <w:rsid w:val="001F0705"/>
    <w:rsid w:val="001F0B02"/>
    <w:rsid w:val="001F1B85"/>
    <w:rsid w:val="001F1F8B"/>
    <w:rsid w:val="001F3D43"/>
    <w:rsid w:val="001F554A"/>
    <w:rsid w:val="001F59CC"/>
    <w:rsid w:val="001F6115"/>
    <w:rsid w:val="001F65C8"/>
    <w:rsid w:val="001F6E32"/>
    <w:rsid w:val="001F7562"/>
    <w:rsid w:val="001F7BC2"/>
    <w:rsid w:val="00200305"/>
    <w:rsid w:val="00200C16"/>
    <w:rsid w:val="00201145"/>
    <w:rsid w:val="0020132A"/>
    <w:rsid w:val="0020140F"/>
    <w:rsid w:val="00201427"/>
    <w:rsid w:val="002014B6"/>
    <w:rsid w:val="00202736"/>
    <w:rsid w:val="002029A4"/>
    <w:rsid w:val="00202DF7"/>
    <w:rsid w:val="00203B45"/>
    <w:rsid w:val="00204690"/>
    <w:rsid w:val="002048DA"/>
    <w:rsid w:val="00204CE7"/>
    <w:rsid w:val="00204F48"/>
    <w:rsid w:val="002050A3"/>
    <w:rsid w:val="0020552D"/>
    <w:rsid w:val="0020604D"/>
    <w:rsid w:val="00206081"/>
    <w:rsid w:val="00206338"/>
    <w:rsid w:val="00206849"/>
    <w:rsid w:val="002071EC"/>
    <w:rsid w:val="0020752B"/>
    <w:rsid w:val="00210489"/>
    <w:rsid w:val="00210773"/>
    <w:rsid w:val="002109EA"/>
    <w:rsid w:val="00210D5F"/>
    <w:rsid w:val="00210E3A"/>
    <w:rsid w:val="00210EEB"/>
    <w:rsid w:val="00210F7B"/>
    <w:rsid w:val="00212876"/>
    <w:rsid w:val="00212E94"/>
    <w:rsid w:val="00213276"/>
    <w:rsid w:val="00213D0C"/>
    <w:rsid w:val="002143FA"/>
    <w:rsid w:val="00214578"/>
    <w:rsid w:val="00214C4E"/>
    <w:rsid w:val="002158B7"/>
    <w:rsid w:val="00215C11"/>
    <w:rsid w:val="0021685A"/>
    <w:rsid w:val="00216AB9"/>
    <w:rsid w:val="00217971"/>
    <w:rsid w:val="002209E5"/>
    <w:rsid w:val="00220AD8"/>
    <w:rsid w:val="00220C29"/>
    <w:rsid w:val="0022142A"/>
    <w:rsid w:val="00221D5A"/>
    <w:rsid w:val="0022283F"/>
    <w:rsid w:val="00222AC7"/>
    <w:rsid w:val="002235EC"/>
    <w:rsid w:val="002259C2"/>
    <w:rsid w:val="002259C5"/>
    <w:rsid w:val="00225C26"/>
    <w:rsid w:val="00226527"/>
    <w:rsid w:val="002272E8"/>
    <w:rsid w:val="00227DE2"/>
    <w:rsid w:val="00230DC0"/>
    <w:rsid w:val="002314F5"/>
    <w:rsid w:val="0023267A"/>
    <w:rsid w:val="00233149"/>
    <w:rsid w:val="00235154"/>
    <w:rsid w:val="0023517A"/>
    <w:rsid w:val="002355DF"/>
    <w:rsid w:val="002359AA"/>
    <w:rsid w:val="002362F0"/>
    <w:rsid w:val="002367D5"/>
    <w:rsid w:val="00236CC9"/>
    <w:rsid w:val="00236FD8"/>
    <w:rsid w:val="0023758D"/>
    <w:rsid w:val="00237F60"/>
    <w:rsid w:val="00237FF4"/>
    <w:rsid w:val="00240144"/>
    <w:rsid w:val="00240145"/>
    <w:rsid w:val="00240241"/>
    <w:rsid w:val="002405F6"/>
    <w:rsid w:val="00240AA8"/>
    <w:rsid w:val="00240C01"/>
    <w:rsid w:val="002413D9"/>
    <w:rsid w:val="00241EE0"/>
    <w:rsid w:val="002425C7"/>
    <w:rsid w:val="002426AE"/>
    <w:rsid w:val="00242A23"/>
    <w:rsid w:val="00242FC0"/>
    <w:rsid w:val="002442F5"/>
    <w:rsid w:val="00244DE6"/>
    <w:rsid w:val="002462AE"/>
    <w:rsid w:val="0024634E"/>
    <w:rsid w:val="00247668"/>
    <w:rsid w:val="002476CA"/>
    <w:rsid w:val="00247706"/>
    <w:rsid w:val="00247D7C"/>
    <w:rsid w:val="00250599"/>
    <w:rsid w:val="00250C17"/>
    <w:rsid w:val="00250FE3"/>
    <w:rsid w:val="00253058"/>
    <w:rsid w:val="002535F1"/>
    <w:rsid w:val="00253DF1"/>
    <w:rsid w:val="00253FB5"/>
    <w:rsid w:val="00254070"/>
    <w:rsid w:val="002548DF"/>
    <w:rsid w:val="0025697C"/>
    <w:rsid w:val="00256B3A"/>
    <w:rsid w:val="0025722E"/>
    <w:rsid w:val="002572CE"/>
    <w:rsid w:val="00257530"/>
    <w:rsid w:val="002619BF"/>
    <w:rsid w:val="00263E91"/>
    <w:rsid w:val="002640DC"/>
    <w:rsid w:val="002647FD"/>
    <w:rsid w:val="0026481E"/>
    <w:rsid w:val="0026513F"/>
    <w:rsid w:val="00265458"/>
    <w:rsid w:val="00265489"/>
    <w:rsid w:val="00265511"/>
    <w:rsid w:val="0026593B"/>
    <w:rsid w:val="0026657A"/>
    <w:rsid w:val="00267849"/>
    <w:rsid w:val="00270BC9"/>
    <w:rsid w:val="002719B8"/>
    <w:rsid w:val="00271B23"/>
    <w:rsid w:val="0027261E"/>
    <w:rsid w:val="00272750"/>
    <w:rsid w:val="00272891"/>
    <w:rsid w:val="00272CCA"/>
    <w:rsid w:val="00273376"/>
    <w:rsid w:val="00273859"/>
    <w:rsid w:val="00274FEB"/>
    <w:rsid w:val="002758E4"/>
    <w:rsid w:val="00276375"/>
    <w:rsid w:val="0027647C"/>
    <w:rsid w:val="00276AA2"/>
    <w:rsid w:val="00277072"/>
    <w:rsid w:val="00277498"/>
    <w:rsid w:val="00277E7C"/>
    <w:rsid w:val="00280F5C"/>
    <w:rsid w:val="0028124A"/>
    <w:rsid w:val="00281DDA"/>
    <w:rsid w:val="00283274"/>
    <w:rsid w:val="0028358D"/>
    <w:rsid w:val="002839A8"/>
    <w:rsid w:val="0028441B"/>
    <w:rsid w:val="00284A60"/>
    <w:rsid w:val="002850B5"/>
    <w:rsid w:val="00285424"/>
    <w:rsid w:val="00285911"/>
    <w:rsid w:val="00285C71"/>
    <w:rsid w:val="00286B71"/>
    <w:rsid w:val="00286C9E"/>
    <w:rsid w:val="002875DF"/>
    <w:rsid w:val="002877D5"/>
    <w:rsid w:val="00287F95"/>
    <w:rsid w:val="00290133"/>
    <w:rsid w:val="0029076A"/>
    <w:rsid w:val="00290B51"/>
    <w:rsid w:val="00291254"/>
    <w:rsid w:val="00291CD0"/>
    <w:rsid w:val="0029297E"/>
    <w:rsid w:val="00292FF5"/>
    <w:rsid w:val="0029338E"/>
    <w:rsid w:val="002938D9"/>
    <w:rsid w:val="00294793"/>
    <w:rsid w:val="00295DAC"/>
    <w:rsid w:val="00296B80"/>
    <w:rsid w:val="00297698"/>
    <w:rsid w:val="00297AE3"/>
    <w:rsid w:val="002A069E"/>
    <w:rsid w:val="002A091F"/>
    <w:rsid w:val="002A0FF7"/>
    <w:rsid w:val="002A15FF"/>
    <w:rsid w:val="002A1915"/>
    <w:rsid w:val="002A1A59"/>
    <w:rsid w:val="002A2223"/>
    <w:rsid w:val="002A2DEF"/>
    <w:rsid w:val="002A36FC"/>
    <w:rsid w:val="002A3CE1"/>
    <w:rsid w:val="002A3FA2"/>
    <w:rsid w:val="002A47E4"/>
    <w:rsid w:val="002A4C6F"/>
    <w:rsid w:val="002A63FA"/>
    <w:rsid w:val="002A6750"/>
    <w:rsid w:val="002A696F"/>
    <w:rsid w:val="002A79D8"/>
    <w:rsid w:val="002B0C07"/>
    <w:rsid w:val="002B0CF8"/>
    <w:rsid w:val="002B1247"/>
    <w:rsid w:val="002B1643"/>
    <w:rsid w:val="002B1AD6"/>
    <w:rsid w:val="002B1DED"/>
    <w:rsid w:val="002B1F2C"/>
    <w:rsid w:val="002B2169"/>
    <w:rsid w:val="002B236B"/>
    <w:rsid w:val="002B25CB"/>
    <w:rsid w:val="002B2865"/>
    <w:rsid w:val="002B339A"/>
    <w:rsid w:val="002B381B"/>
    <w:rsid w:val="002B3FA5"/>
    <w:rsid w:val="002B52AA"/>
    <w:rsid w:val="002B75CB"/>
    <w:rsid w:val="002B7F37"/>
    <w:rsid w:val="002C08C0"/>
    <w:rsid w:val="002C0AFB"/>
    <w:rsid w:val="002C0C22"/>
    <w:rsid w:val="002C245C"/>
    <w:rsid w:val="002C298A"/>
    <w:rsid w:val="002C33FA"/>
    <w:rsid w:val="002C376E"/>
    <w:rsid w:val="002C389F"/>
    <w:rsid w:val="002C3A99"/>
    <w:rsid w:val="002C3EAE"/>
    <w:rsid w:val="002C4B7D"/>
    <w:rsid w:val="002C4F1B"/>
    <w:rsid w:val="002C5010"/>
    <w:rsid w:val="002C56B7"/>
    <w:rsid w:val="002C5908"/>
    <w:rsid w:val="002C5A7E"/>
    <w:rsid w:val="002C5CBC"/>
    <w:rsid w:val="002C5FEF"/>
    <w:rsid w:val="002C651B"/>
    <w:rsid w:val="002C6B8A"/>
    <w:rsid w:val="002C7A87"/>
    <w:rsid w:val="002C7DF7"/>
    <w:rsid w:val="002D02DC"/>
    <w:rsid w:val="002D1B8B"/>
    <w:rsid w:val="002D1C11"/>
    <w:rsid w:val="002D1E1C"/>
    <w:rsid w:val="002D2770"/>
    <w:rsid w:val="002D2C06"/>
    <w:rsid w:val="002D2E31"/>
    <w:rsid w:val="002D3234"/>
    <w:rsid w:val="002D340E"/>
    <w:rsid w:val="002D36D8"/>
    <w:rsid w:val="002D3A25"/>
    <w:rsid w:val="002D3AFD"/>
    <w:rsid w:val="002D3E81"/>
    <w:rsid w:val="002D3E8D"/>
    <w:rsid w:val="002D4802"/>
    <w:rsid w:val="002D5A03"/>
    <w:rsid w:val="002D60DC"/>
    <w:rsid w:val="002D6347"/>
    <w:rsid w:val="002D6DF4"/>
    <w:rsid w:val="002D7600"/>
    <w:rsid w:val="002D766E"/>
    <w:rsid w:val="002D7FE4"/>
    <w:rsid w:val="002E04FD"/>
    <w:rsid w:val="002E15FF"/>
    <w:rsid w:val="002E17F1"/>
    <w:rsid w:val="002E2358"/>
    <w:rsid w:val="002E2369"/>
    <w:rsid w:val="002E25E2"/>
    <w:rsid w:val="002E2997"/>
    <w:rsid w:val="002E35C7"/>
    <w:rsid w:val="002E3965"/>
    <w:rsid w:val="002E448B"/>
    <w:rsid w:val="002E4528"/>
    <w:rsid w:val="002E4B84"/>
    <w:rsid w:val="002E4FE5"/>
    <w:rsid w:val="002E6578"/>
    <w:rsid w:val="002E67FE"/>
    <w:rsid w:val="002E7421"/>
    <w:rsid w:val="002E7D50"/>
    <w:rsid w:val="002E7D96"/>
    <w:rsid w:val="002F0161"/>
    <w:rsid w:val="002F0374"/>
    <w:rsid w:val="002F06DF"/>
    <w:rsid w:val="002F0B9B"/>
    <w:rsid w:val="002F127B"/>
    <w:rsid w:val="002F1A56"/>
    <w:rsid w:val="002F1CD6"/>
    <w:rsid w:val="002F20A3"/>
    <w:rsid w:val="002F40EB"/>
    <w:rsid w:val="002F52C5"/>
    <w:rsid w:val="002F56C8"/>
    <w:rsid w:val="002F6171"/>
    <w:rsid w:val="002F6CDE"/>
    <w:rsid w:val="002F702D"/>
    <w:rsid w:val="00301D18"/>
    <w:rsid w:val="00304426"/>
    <w:rsid w:val="00304E9E"/>
    <w:rsid w:val="003050B4"/>
    <w:rsid w:val="003055EB"/>
    <w:rsid w:val="0030644C"/>
    <w:rsid w:val="0031055C"/>
    <w:rsid w:val="00310DEB"/>
    <w:rsid w:val="003125A2"/>
    <w:rsid w:val="0031260A"/>
    <w:rsid w:val="00312704"/>
    <w:rsid w:val="00312D6E"/>
    <w:rsid w:val="003135B4"/>
    <w:rsid w:val="00314064"/>
    <w:rsid w:val="00314808"/>
    <w:rsid w:val="00314B3C"/>
    <w:rsid w:val="00314D23"/>
    <w:rsid w:val="00314ED0"/>
    <w:rsid w:val="003156B3"/>
    <w:rsid w:val="00315ADD"/>
    <w:rsid w:val="0031618E"/>
    <w:rsid w:val="00316573"/>
    <w:rsid w:val="003177D7"/>
    <w:rsid w:val="00317C10"/>
    <w:rsid w:val="00320212"/>
    <w:rsid w:val="0032051A"/>
    <w:rsid w:val="0032081F"/>
    <w:rsid w:val="00320A87"/>
    <w:rsid w:val="00320CEE"/>
    <w:rsid w:val="00320E51"/>
    <w:rsid w:val="0032291C"/>
    <w:rsid w:val="00322DFA"/>
    <w:rsid w:val="003233D7"/>
    <w:rsid w:val="00324BAD"/>
    <w:rsid w:val="003253EC"/>
    <w:rsid w:val="0032559A"/>
    <w:rsid w:val="003263B6"/>
    <w:rsid w:val="0032673E"/>
    <w:rsid w:val="00326757"/>
    <w:rsid w:val="0032677D"/>
    <w:rsid w:val="0032758F"/>
    <w:rsid w:val="0032762F"/>
    <w:rsid w:val="003278E7"/>
    <w:rsid w:val="00327C4B"/>
    <w:rsid w:val="00330D90"/>
    <w:rsid w:val="003313E8"/>
    <w:rsid w:val="0033165C"/>
    <w:rsid w:val="003324ED"/>
    <w:rsid w:val="00332B44"/>
    <w:rsid w:val="00332BD9"/>
    <w:rsid w:val="00332FD4"/>
    <w:rsid w:val="003338C0"/>
    <w:rsid w:val="00333B77"/>
    <w:rsid w:val="00333B9E"/>
    <w:rsid w:val="00333C56"/>
    <w:rsid w:val="00333E88"/>
    <w:rsid w:val="0033423D"/>
    <w:rsid w:val="00334AA6"/>
    <w:rsid w:val="0033508C"/>
    <w:rsid w:val="003350E6"/>
    <w:rsid w:val="0033537A"/>
    <w:rsid w:val="00336A43"/>
    <w:rsid w:val="00336CB4"/>
    <w:rsid w:val="00337ED2"/>
    <w:rsid w:val="003409D3"/>
    <w:rsid w:val="00340C42"/>
    <w:rsid w:val="00341CDD"/>
    <w:rsid w:val="00341F87"/>
    <w:rsid w:val="00342769"/>
    <w:rsid w:val="003427DC"/>
    <w:rsid w:val="00343738"/>
    <w:rsid w:val="0034391C"/>
    <w:rsid w:val="00344492"/>
    <w:rsid w:val="003448E6"/>
    <w:rsid w:val="00344CD6"/>
    <w:rsid w:val="0034501D"/>
    <w:rsid w:val="00345C0A"/>
    <w:rsid w:val="00345F29"/>
    <w:rsid w:val="003461AE"/>
    <w:rsid w:val="0034678A"/>
    <w:rsid w:val="00350A13"/>
    <w:rsid w:val="003514B4"/>
    <w:rsid w:val="003516D8"/>
    <w:rsid w:val="0035178C"/>
    <w:rsid w:val="00351DC7"/>
    <w:rsid w:val="003521DC"/>
    <w:rsid w:val="003528FB"/>
    <w:rsid w:val="00352C0E"/>
    <w:rsid w:val="00354914"/>
    <w:rsid w:val="0035597A"/>
    <w:rsid w:val="00356003"/>
    <w:rsid w:val="00356316"/>
    <w:rsid w:val="00357678"/>
    <w:rsid w:val="003604C8"/>
    <w:rsid w:val="00360BC7"/>
    <w:rsid w:val="003616B6"/>
    <w:rsid w:val="00362812"/>
    <w:rsid w:val="003632E2"/>
    <w:rsid w:val="00363760"/>
    <w:rsid w:val="00363D55"/>
    <w:rsid w:val="00364835"/>
    <w:rsid w:val="00364877"/>
    <w:rsid w:val="00364971"/>
    <w:rsid w:val="00364A78"/>
    <w:rsid w:val="00365F2E"/>
    <w:rsid w:val="00366270"/>
    <w:rsid w:val="0036710B"/>
    <w:rsid w:val="003675AF"/>
    <w:rsid w:val="003704BF"/>
    <w:rsid w:val="00370986"/>
    <w:rsid w:val="00370A64"/>
    <w:rsid w:val="00370FD3"/>
    <w:rsid w:val="00371369"/>
    <w:rsid w:val="0037239D"/>
    <w:rsid w:val="00374242"/>
    <w:rsid w:val="003752ED"/>
    <w:rsid w:val="0037580C"/>
    <w:rsid w:val="0037598B"/>
    <w:rsid w:val="00375CDD"/>
    <w:rsid w:val="0037604E"/>
    <w:rsid w:val="003764DE"/>
    <w:rsid w:val="00376C49"/>
    <w:rsid w:val="0037730B"/>
    <w:rsid w:val="00377E6D"/>
    <w:rsid w:val="003802BD"/>
    <w:rsid w:val="00380AEE"/>
    <w:rsid w:val="00380C77"/>
    <w:rsid w:val="003813F1"/>
    <w:rsid w:val="00381F3D"/>
    <w:rsid w:val="00382145"/>
    <w:rsid w:val="00382182"/>
    <w:rsid w:val="0038270A"/>
    <w:rsid w:val="003832E4"/>
    <w:rsid w:val="003840EB"/>
    <w:rsid w:val="00384A0F"/>
    <w:rsid w:val="0038528B"/>
    <w:rsid w:val="0038550E"/>
    <w:rsid w:val="00385FF0"/>
    <w:rsid w:val="00386D78"/>
    <w:rsid w:val="00387881"/>
    <w:rsid w:val="00387A8F"/>
    <w:rsid w:val="00387E68"/>
    <w:rsid w:val="00390245"/>
    <w:rsid w:val="003906D5"/>
    <w:rsid w:val="00390CC4"/>
    <w:rsid w:val="003929CE"/>
    <w:rsid w:val="00392D9C"/>
    <w:rsid w:val="00392DE4"/>
    <w:rsid w:val="0039360D"/>
    <w:rsid w:val="00393888"/>
    <w:rsid w:val="00393F8A"/>
    <w:rsid w:val="0039587F"/>
    <w:rsid w:val="00395B7A"/>
    <w:rsid w:val="00395CE9"/>
    <w:rsid w:val="00396D5A"/>
    <w:rsid w:val="003971C0"/>
    <w:rsid w:val="003A1EE9"/>
    <w:rsid w:val="003A24DA"/>
    <w:rsid w:val="003A2B37"/>
    <w:rsid w:val="003A2EDB"/>
    <w:rsid w:val="003A3043"/>
    <w:rsid w:val="003A39EF"/>
    <w:rsid w:val="003A43D0"/>
    <w:rsid w:val="003A53B7"/>
    <w:rsid w:val="003A59DB"/>
    <w:rsid w:val="003A6A7E"/>
    <w:rsid w:val="003A70B6"/>
    <w:rsid w:val="003B0967"/>
    <w:rsid w:val="003B0BC2"/>
    <w:rsid w:val="003B0C44"/>
    <w:rsid w:val="003B0DA8"/>
    <w:rsid w:val="003B179E"/>
    <w:rsid w:val="003B1B8D"/>
    <w:rsid w:val="003B1F04"/>
    <w:rsid w:val="003B2428"/>
    <w:rsid w:val="003B278B"/>
    <w:rsid w:val="003B2E55"/>
    <w:rsid w:val="003B2F73"/>
    <w:rsid w:val="003B326D"/>
    <w:rsid w:val="003B35B5"/>
    <w:rsid w:val="003B39C1"/>
    <w:rsid w:val="003B3E00"/>
    <w:rsid w:val="003B3F31"/>
    <w:rsid w:val="003B4012"/>
    <w:rsid w:val="003B44F5"/>
    <w:rsid w:val="003B46CE"/>
    <w:rsid w:val="003B4C08"/>
    <w:rsid w:val="003B4CB3"/>
    <w:rsid w:val="003B51BB"/>
    <w:rsid w:val="003B548B"/>
    <w:rsid w:val="003B57B4"/>
    <w:rsid w:val="003B6F44"/>
    <w:rsid w:val="003B7146"/>
    <w:rsid w:val="003B763D"/>
    <w:rsid w:val="003B7E97"/>
    <w:rsid w:val="003C047E"/>
    <w:rsid w:val="003C0536"/>
    <w:rsid w:val="003C06FF"/>
    <w:rsid w:val="003C0B6D"/>
    <w:rsid w:val="003C1ABF"/>
    <w:rsid w:val="003C1EAD"/>
    <w:rsid w:val="003C3CD2"/>
    <w:rsid w:val="003C3CE5"/>
    <w:rsid w:val="003C3DE8"/>
    <w:rsid w:val="003C3FE1"/>
    <w:rsid w:val="003C5FF0"/>
    <w:rsid w:val="003C61D1"/>
    <w:rsid w:val="003C6B47"/>
    <w:rsid w:val="003C6F85"/>
    <w:rsid w:val="003C7267"/>
    <w:rsid w:val="003C7688"/>
    <w:rsid w:val="003D0812"/>
    <w:rsid w:val="003D1B29"/>
    <w:rsid w:val="003D29D2"/>
    <w:rsid w:val="003D416D"/>
    <w:rsid w:val="003D4189"/>
    <w:rsid w:val="003D461E"/>
    <w:rsid w:val="003D476E"/>
    <w:rsid w:val="003D4D88"/>
    <w:rsid w:val="003D53A2"/>
    <w:rsid w:val="003D564B"/>
    <w:rsid w:val="003D5FF5"/>
    <w:rsid w:val="003E0482"/>
    <w:rsid w:val="003E0859"/>
    <w:rsid w:val="003E0B17"/>
    <w:rsid w:val="003E0CB1"/>
    <w:rsid w:val="003E1193"/>
    <w:rsid w:val="003E1278"/>
    <w:rsid w:val="003E14BC"/>
    <w:rsid w:val="003E1608"/>
    <w:rsid w:val="003E19FA"/>
    <w:rsid w:val="003E1DC1"/>
    <w:rsid w:val="003E222C"/>
    <w:rsid w:val="003E2F04"/>
    <w:rsid w:val="003E3493"/>
    <w:rsid w:val="003E5C0E"/>
    <w:rsid w:val="003E6EF2"/>
    <w:rsid w:val="003E73E2"/>
    <w:rsid w:val="003E7775"/>
    <w:rsid w:val="003E7880"/>
    <w:rsid w:val="003F042B"/>
    <w:rsid w:val="003F15A7"/>
    <w:rsid w:val="003F2486"/>
    <w:rsid w:val="003F34C4"/>
    <w:rsid w:val="003F36F3"/>
    <w:rsid w:val="003F3A98"/>
    <w:rsid w:val="003F3CED"/>
    <w:rsid w:val="003F4C76"/>
    <w:rsid w:val="003F5144"/>
    <w:rsid w:val="003F57E0"/>
    <w:rsid w:val="003F58A0"/>
    <w:rsid w:val="003F5F07"/>
    <w:rsid w:val="003F61FF"/>
    <w:rsid w:val="003F62C2"/>
    <w:rsid w:val="003F6FB7"/>
    <w:rsid w:val="003F760F"/>
    <w:rsid w:val="00401164"/>
    <w:rsid w:val="0040215F"/>
    <w:rsid w:val="004028BA"/>
    <w:rsid w:val="00402FB1"/>
    <w:rsid w:val="004031E6"/>
    <w:rsid w:val="004032CD"/>
    <w:rsid w:val="00403CF5"/>
    <w:rsid w:val="00403EFA"/>
    <w:rsid w:val="004042C0"/>
    <w:rsid w:val="00404714"/>
    <w:rsid w:val="00404B48"/>
    <w:rsid w:val="00405220"/>
    <w:rsid w:val="004058CD"/>
    <w:rsid w:val="004058E3"/>
    <w:rsid w:val="00405E1F"/>
    <w:rsid w:val="00405FB6"/>
    <w:rsid w:val="0040604C"/>
    <w:rsid w:val="0040712E"/>
    <w:rsid w:val="004072A5"/>
    <w:rsid w:val="00410319"/>
    <w:rsid w:val="004109E8"/>
    <w:rsid w:val="00411DC0"/>
    <w:rsid w:val="004143C2"/>
    <w:rsid w:val="00414FB4"/>
    <w:rsid w:val="00415615"/>
    <w:rsid w:val="00415FD6"/>
    <w:rsid w:val="00416A42"/>
    <w:rsid w:val="0041755B"/>
    <w:rsid w:val="0041771E"/>
    <w:rsid w:val="004229E1"/>
    <w:rsid w:val="0042302D"/>
    <w:rsid w:val="004233CB"/>
    <w:rsid w:val="00423F3A"/>
    <w:rsid w:val="00424A19"/>
    <w:rsid w:val="00426412"/>
    <w:rsid w:val="004265DE"/>
    <w:rsid w:val="00426FE2"/>
    <w:rsid w:val="00430843"/>
    <w:rsid w:val="00430CA1"/>
    <w:rsid w:val="00431176"/>
    <w:rsid w:val="004315A9"/>
    <w:rsid w:val="00431DBF"/>
    <w:rsid w:val="00431E85"/>
    <w:rsid w:val="00431FD4"/>
    <w:rsid w:val="00432201"/>
    <w:rsid w:val="0043231C"/>
    <w:rsid w:val="004325F3"/>
    <w:rsid w:val="004327B6"/>
    <w:rsid w:val="004337EE"/>
    <w:rsid w:val="00434039"/>
    <w:rsid w:val="0043485A"/>
    <w:rsid w:val="00435BAF"/>
    <w:rsid w:val="00436CA4"/>
    <w:rsid w:val="00436CD6"/>
    <w:rsid w:val="00437593"/>
    <w:rsid w:val="00437CE5"/>
    <w:rsid w:val="00437FFE"/>
    <w:rsid w:val="00440A9F"/>
    <w:rsid w:val="00440B13"/>
    <w:rsid w:val="00440B9A"/>
    <w:rsid w:val="004410A4"/>
    <w:rsid w:val="004411C4"/>
    <w:rsid w:val="004411EA"/>
    <w:rsid w:val="0044176C"/>
    <w:rsid w:val="00442EDB"/>
    <w:rsid w:val="00443080"/>
    <w:rsid w:val="00445260"/>
    <w:rsid w:val="00445D84"/>
    <w:rsid w:val="004460D0"/>
    <w:rsid w:val="0044658F"/>
    <w:rsid w:val="00446B07"/>
    <w:rsid w:val="00446C8B"/>
    <w:rsid w:val="00447363"/>
    <w:rsid w:val="00447695"/>
    <w:rsid w:val="004502EF"/>
    <w:rsid w:val="00450CAF"/>
    <w:rsid w:val="00450CDF"/>
    <w:rsid w:val="00452E2D"/>
    <w:rsid w:val="0045388B"/>
    <w:rsid w:val="00454A18"/>
    <w:rsid w:val="00454AB3"/>
    <w:rsid w:val="00455179"/>
    <w:rsid w:val="00455688"/>
    <w:rsid w:val="00455F2B"/>
    <w:rsid w:val="004565D8"/>
    <w:rsid w:val="00456B3C"/>
    <w:rsid w:val="00457EC4"/>
    <w:rsid w:val="00460027"/>
    <w:rsid w:val="0046003F"/>
    <w:rsid w:val="0046051C"/>
    <w:rsid w:val="004616CA"/>
    <w:rsid w:val="00463600"/>
    <w:rsid w:val="004637BB"/>
    <w:rsid w:val="004637DE"/>
    <w:rsid w:val="00463B4C"/>
    <w:rsid w:val="00463CC1"/>
    <w:rsid w:val="00463E21"/>
    <w:rsid w:val="0046624E"/>
    <w:rsid w:val="004673FF"/>
    <w:rsid w:val="00470509"/>
    <w:rsid w:val="00470520"/>
    <w:rsid w:val="00470B0E"/>
    <w:rsid w:val="00470C23"/>
    <w:rsid w:val="00470FF3"/>
    <w:rsid w:val="00471525"/>
    <w:rsid w:val="004722DC"/>
    <w:rsid w:val="00472488"/>
    <w:rsid w:val="00472538"/>
    <w:rsid w:val="0047357D"/>
    <w:rsid w:val="00474AAA"/>
    <w:rsid w:val="00474C0A"/>
    <w:rsid w:val="00475554"/>
    <w:rsid w:val="00475CA0"/>
    <w:rsid w:val="00476A36"/>
    <w:rsid w:val="00476BB7"/>
    <w:rsid w:val="004774D2"/>
    <w:rsid w:val="00477810"/>
    <w:rsid w:val="004808B6"/>
    <w:rsid w:val="00480C5F"/>
    <w:rsid w:val="0048186B"/>
    <w:rsid w:val="00482250"/>
    <w:rsid w:val="0048265F"/>
    <w:rsid w:val="00482A46"/>
    <w:rsid w:val="00482B16"/>
    <w:rsid w:val="00482CD8"/>
    <w:rsid w:val="0048327B"/>
    <w:rsid w:val="00483656"/>
    <w:rsid w:val="00483978"/>
    <w:rsid w:val="00483A0A"/>
    <w:rsid w:val="00483CA2"/>
    <w:rsid w:val="0048596A"/>
    <w:rsid w:val="00487A7B"/>
    <w:rsid w:val="00491C0E"/>
    <w:rsid w:val="00492115"/>
    <w:rsid w:val="00492CF7"/>
    <w:rsid w:val="00493B20"/>
    <w:rsid w:val="00494166"/>
    <w:rsid w:val="00494670"/>
    <w:rsid w:val="00495538"/>
    <w:rsid w:val="00495C3F"/>
    <w:rsid w:val="00496522"/>
    <w:rsid w:val="0049683F"/>
    <w:rsid w:val="00496D27"/>
    <w:rsid w:val="00496EE1"/>
    <w:rsid w:val="00497421"/>
    <w:rsid w:val="004975AB"/>
    <w:rsid w:val="004A1C13"/>
    <w:rsid w:val="004A2AB6"/>
    <w:rsid w:val="004A3B52"/>
    <w:rsid w:val="004A4616"/>
    <w:rsid w:val="004A532D"/>
    <w:rsid w:val="004A539D"/>
    <w:rsid w:val="004A5439"/>
    <w:rsid w:val="004A56A0"/>
    <w:rsid w:val="004A575A"/>
    <w:rsid w:val="004A5D9B"/>
    <w:rsid w:val="004A7AC5"/>
    <w:rsid w:val="004A7C5B"/>
    <w:rsid w:val="004B0089"/>
    <w:rsid w:val="004B0250"/>
    <w:rsid w:val="004B0667"/>
    <w:rsid w:val="004B0DC3"/>
    <w:rsid w:val="004B1714"/>
    <w:rsid w:val="004B1C6F"/>
    <w:rsid w:val="004B24D8"/>
    <w:rsid w:val="004B28FC"/>
    <w:rsid w:val="004B2F4F"/>
    <w:rsid w:val="004B31B6"/>
    <w:rsid w:val="004B43D5"/>
    <w:rsid w:val="004B44CA"/>
    <w:rsid w:val="004B5287"/>
    <w:rsid w:val="004B56F6"/>
    <w:rsid w:val="004B593E"/>
    <w:rsid w:val="004B5F0F"/>
    <w:rsid w:val="004B75B6"/>
    <w:rsid w:val="004B7717"/>
    <w:rsid w:val="004B7F11"/>
    <w:rsid w:val="004C054D"/>
    <w:rsid w:val="004C0A7A"/>
    <w:rsid w:val="004C1B6D"/>
    <w:rsid w:val="004C1F4B"/>
    <w:rsid w:val="004C21E1"/>
    <w:rsid w:val="004C2275"/>
    <w:rsid w:val="004C2D99"/>
    <w:rsid w:val="004C30A6"/>
    <w:rsid w:val="004C3862"/>
    <w:rsid w:val="004C461A"/>
    <w:rsid w:val="004C4B8A"/>
    <w:rsid w:val="004C66DD"/>
    <w:rsid w:val="004C6798"/>
    <w:rsid w:val="004C689D"/>
    <w:rsid w:val="004C7456"/>
    <w:rsid w:val="004C775A"/>
    <w:rsid w:val="004C7EB3"/>
    <w:rsid w:val="004C7FCC"/>
    <w:rsid w:val="004D000E"/>
    <w:rsid w:val="004D00E0"/>
    <w:rsid w:val="004D0588"/>
    <w:rsid w:val="004D0682"/>
    <w:rsid w:val="004D15A0"/>
    <w:rsid w:val="004D15FB"/>
    <w:rsid w:val="004D2848"/>
    <w:rsid w:val="004D349D"/>
    <w:rsid w:val="004D3775"/>
    <w:rsid w:val="004D3A52"/>
    <w:rsid w:val="004D42D7"/>
    <w:rsid w:val="004D4C68"/>
    <w:rsid w:val="004D599E"/>
    <w:rsid w:val="004D5B2C"/>
    <w:rsid w:val="004D6475"/>
    <w:rsid w:val="004D6C47"/>
    <w:rsid w:val="004D79E8"/>
    <w:rsid w:val="004D7CE5"/>
    <w:rsid w:val="004E03E4"/>
    <w:rsid w:val="004E0434"/>
    <w:rsid w:val="004E0F6D"/>
    <w:rsid w:val="004E1B97"/>
    <w:rsid w:val="004E1CEF"/>
    <w:rsid w:val="004E24DC"/>
    <w:rsid w:val="004E2680"/>
    <w:rsid w:val="004E289D"/>
    <w:rsid w:val="004E2AC0"/>
    <w:rsid w:val="004E2B6C"/>
    <w:rsid w:val="004E3BDE"/>
    <w:rsid w:val="004E40FB"/>
    <w:rsid w:val="004E55FA"/>
    <w:rsid w:val="004E5C87"/>
    <w:rsid w:val="004E6398"/>
    <w:rsid w:val="004E7FB2"/>
    <w:rsid w:val="004F00F7"/>
    <w:rsid w:val="004F095E"/>
    <w:rsid w:val="004F143E"/>
    <w:rsid w:val="004F1845"/>
    <w:rsid w:val="004F2147"/>
    <w:rsid w:val="004F2239"/>
    <w:rsid w:val="004F2759"/>
    <w:rsid w:val="004F2D60"/>
    <w:rsid w:val="004F33EC"/>
    <w:rsid w:val="004F3D4D"/>
    <w:rsid w:val="004F41A5"/>
    <w:rsid w:val="004F42B6"/>
    <w:rsid w:val="004F4691"/>
    <w:rsid w:val="004F55C5"/>
    <w:rsid w:val="004F5FBB"/>
    <w:rsid w:val="004F6D9B"/>
    <w:rsid w:val="004F7045"/>
    <w:rsid w:val="004F71FF"/>
    <w:rsid w:val="004F739A"/>
    <w:rsid w:val="004F7445"/>
    <w:rsid w:val="00500305"/>
    <w:rsid w:val="0050048F"/>
    <w:rsid w:val="00500ECA"/>
    <w:rsid w:val="005029A4"/>
    <w:rsid w:val="00502FCF"/>
    <w:rsid w:val="00503650"/>
    <w:rsid w:val="00503B46"/>
    <w:rsid w:val="0050418B"/>
    <w:rsid w:val="005041A7"/>
    <w:rsid w:val="0050472A"/>
    <w:rsid w:val="00504BBC"/>
    <w:rsid w:val="0050545B"/>
    <w:rsid w:val="00505B54"/>
    <w:rsid w:val="00505D93"/>
    <w:rsid w:val="005066AE"/>
    <w:rsid w:val="00506EF4"/>
    <w:rsid w:val="00507A6A"/>
    <w:rsid w:val="00507E00"/>
    <w:rsid w:val="005105F4"/>
    <w:rsid w:val="00510F33"/>
    <w:rsid w:val="00510F50"/>
    <w:rsid w:val="00511341"/>
    <w:rsid w:val="005124F0"/>
    <w:rsid w:val="00513C8D"/>
    <w:rsid w:val="0051494E"/>
    <w:rsid w:val="00515125"/>
    <w:rsid w:val="005157A6"/>
    <w:rsid w:val="005164C5"/>
    <w:rsid w:val="00516675"/>
    <w:rsid w:val="00516F9F"/>
    <w:rsid w:val="00517F1F"/>
    <w:rsid w:val="00520E3E"/>
    <w:rsid w:val="005215DF"/>
    <w:rsid w:val="005218F2"/>
    <w:rsid w:val="00521ABE"/>
    <w:rsid w:val="00522539"/>
    <w:rsid w:val="0052265E"/>
    <w:rsid w:val="00522D90"/>
    <w:rsid w:val="00523241"/>
    <w:rsid w:val="00523C50"/>
    <w:rsid w:val="005254A2"/>
    <w:rsid w:val="00525BA8"/>
    <w:rsid w:val="00526A75"/>
    <w:rsid w:val="00527A00"/>
    <w:rsid w:val="00527C3A"/>
    <w:rsid w:val="005300F0"/>
    <w:rsid w:val="00530310"/>
    <w:rsid w:val="00530596"/>
    <w:rsid w:val="00530E49"/>
    <w:rsid w:val="005312CE"/>
    <w:rsid w:val="00531548"/>
    <w:rsid w:val="00531B4B"/>
    <w:rsid w:val="00532635"/>
    <w:rsid w:val="00532653"/>
    <w:rsid w:val="0053392E"/>
    <w:rsid w:val="00533B0A"/>
    <w:rsid w:val="00536CE3"/>
    <w:rsid w:val="00540DBD"/>
    <w:rsid w:val="00541282"/>
    <w:rsid w:val="00541F00"/>
    <w:rsid w:val="0054256C"/>
    <w:rsid w:val="005428F9"/>
    <w:rsid w:val="005431AC"/>
    <w:rsid w:val="00543D69"/>
    <w:rsid w:val="0054508B"/>
    <w:rsid w:val="005450BB"/>
    <w:rsid w:val="00545198"/>
    <w:rsid w:val="005454EC"/>
    <w:rsid w:val="0054559C"/>
    <w:rsid w:val="00547E17"/>
    <w:rsid w:val="00547F36"/>
    <w:rsid w:val="005508F6"/>
    <w:rsid w:val="005516CB"/>
    <w:rsid w:val="00551938"/>
    <w:rsid w:val="00551AC8"/>
    <w:rsid w:val="0055254D"/>
    <w:rsid w:val="00552B42"/>
    <w:rsid w:val="00553976"/>
    <w:rsid w:val="00553F63"/>
    <w:rsid w:val="005549F8"/>
    <w:rsid w:val="00554FC8"/>
    <w:rsid w:val="00555025"/>
    <w:rsid w:val="00555816"/>
    <w:rsid w:val="00556A77"/>
    <w:rsid w:val="00556F92"/>
    <w:rsid w:val="0055723D"/>
    <w:rsid w:val="00561353"/>
    <w:rsid w:val="005627F0"/>
    <w:rsid w:val="00563AA4"/>
    <w:rsid w:val="005641D5"/>
    <w:rsid w:val="0056487E"/>
    <w:rsid w:val="00564D9C"/>
    <w:rsid w:val="0056531B"/>
    <w:rsid w:val="00565B01"/>
    <w:rsid w:val="00565CF8"/>
    <w:rsid w:val="00565E9E"/>
    <w:rsid w:val="00566017"/>
    <w:rsid w:val="00566246"/>
    <w:rsid w:val="00566806"/>
    <w:rsid w:val="00566CDA"/>
    <w:rsid w:val="005679AF"/>
    <w:rsid w:val="00567DB3"/>
    <w:rsid w:val="00571A33"/>
    <w:rsid w:val="00572049"/>
    <w:rsid w:val="00572392"/>
    <w:rsid w:val="0057302A"/>
    <w:rsid w:val="0057424B"/>
    <w:rsid w:val="00574BEB"/>
    <w:rsid w:val="00575DDD"/>
    <w:rsid w:val="0057643C"/>
    <w:rsid w:val="0057692A"/>
    <w:rsid w:val="00576B87"/>
    <w:rsid w:val="00577189"/>
    <w:rsid w:val="00577E19"/>
    <w:rsid w:val="00577FED"/>
    <w:rsid w:val="0058152E"/>
    <w:rsid w:val="00581B65"/>
    <w:rsid w:val="00581CF3"/>
    <w:rsid w:val="00582B30"/>
    <w:rsid w:val="0058342D"/>
    <w:rsid w:val="00584636"/>
    <w:rsid w:val="00584E04"/>
    <w:rsid w:val="0058531F"/>
    <w:rsid w:val="00585A30"/>
    <w:rsid w:val="00585FD3"/>
    <w:rsid w:val="005862EE"/>
    <w:rsid w:val="00587160"/>
    <w:rsid w:val="0058781D"/>
    <w:rsid w:val="005901A1"/>
    <w:rsid w:val="00590237"/>
    <w:rsid w:val="005918D7"/>
    <w:rsid w:val="0059248E"/>
    <w:rsid w:val="00592728"/>
    <w:rsid w:val="00594CB6"/>
    <w:rsid w:val="00594D1A"/>
    <w:rsid w:val="00595CDB"/>
    <w:rsid w:val="0059714C"/>
    <w:rsid w:val="0059744A"/>
    <w:rsid w:val="005A06A1"/>
    <w:rsid w:val="005A075C"/>
    <w:rsid w:val="005A1138"/>
    <w:rsid w:val="005A181D"/>
    <w:rsid w:val="005A1A9A"/>
    <w:rsid w:val="005A251F"/>
    <w:rsid w:val="005A2CDD"/>
    <w:rsid w:val="005A3612"/>
    <w:rsid w:val="005A3A2C"/>
    <w:rsid w:val="005A3FBA"/>
    <w:rsid w:val="005A4BF1"/>
    <w:rsid w:val="005A4C63"/>
    <w:rsid w:val="005A5391"/>
    <w:rsid w:val="005A6431"/>
    <w:rsid w:val="005A6C5A"/>
    <w:rsid w:val="005A700F"/>
    <w:rsid w:val="005A719B"/>
    <w:rsid w:val="005A78F9"/>
    <w:rsid w:val="005A7B87"/>
    <w:rsid w:val="005B0269"/>
    <w:rsid w:val="005B07D6"/>
    <w:rsid w:val="005B0EC6"/>
    <w:rsid w:val="005B1104"/>
    <w:rsid w:val="005B1237"/>
    <w:rsid w:val="005B13E3"/>
    <w:rsid w:val="005B2E3B"/>
    <w:rsid w:val="005B375B"/>
    <w:rsid w:val="005B3B53"/>
    <w:rsid w:val="005B3F75"/>
    <w:rsid w:val="005B4505"/>
    <w:rsid w:val="005B4A13"/>
    <w:rsid w:val="005B5B92"/>
    <w:rsid w:val="005B62BC"/>
    <w:rsid w:val="005B76C9"/>
    <w:rsid w:val="005B7B9A"/>
    <w:rsid w:val="005C020C"/>
    <w:rsid w:val="005C0C81"/>
    <w:rsid w:val="005C157C"/>
    <w:rsid w:val="005C1D34"/>
    <w:rsid w:val="005C26A6"/>
    <w:rsid w:val="005C2ABC"/>
    <w:rsid w:val="005C2D7A"/>
    <w:rsid w:val="005C2F10"/>
    <w:rsid w:val="005C3666"/>
    <w:rsid w:val="005C3896"/>
    <w:rsid w:val="005C3D9A"/>
    <w:rsid w:val="005C4361"/>
    <w:rsid w:val="005C441F"/>
    <w:rsid w:val="005C5443"/>
    <w:rsid w:val="005C5A76"/>
    <w:rsid w:val="005C66C2"/>
    <w:rsid w:val="005C67DA"/>
    <w:rsid w:val="005C6BA8"/>
    <w:rsid w:val="005C6F92"/>
    <w:rsid w:val="005C7546"/>
    <w:rsid w:val="005C75C1"/>
    <w:rsid w:val="005C790D"/>
    <w:rsid w:val="005D15EF"/>
    <w:rsid w:val="005D18BF"/>
    <w:rsid w:val="005D2190"/>
    <w:rsid w:val="005D234E"/>
    <w:rsid w:val="005D2697"/>
    <w:rsid w:val="005D2C43"/>
    <w:rsid w:val="005D3606"/>
    <w:rsid w:val="005D457D"/>
    <w:rsid w:val="005D4608"/>
    <w:rsid w:val="005D5719"/>
    <w:rsid w:val="005D58C3"/>
    <w:rsid w:val="005D58D5"/>
    <w:rsid w:val="005D5D0C"/>
    <w:rsid w:val="005D604A"/>
    <w:rsid w:val="005D61BD"/>
    <w:rsid w:val="005D6A08"/>
    <w:rsid w:val="005D6EC3"/>
    <w:rsid w:val="005D7AED"/>
    <w:rsid w:val="005D7D45"/>
    <w:rsid w:val="005E0FEC"/>
    <w:rsid w:val="005E109B"/>
    <w:rsid w:val="005E1AE6"/>
    <w:rsid w:val="005E1F12"/>
    <w:rsid w:val="005E2197"/>
    <w:rsid w:val="005E2CB2"/>
    <w:rsid w:val="005E2DBC"/>
    <w:rsid w:val="005E2E31"/>
    <w:rsid w:val="005E325C"/>
    <w:rsid w:val="005E3DD5"/>
    <w:rsid w:val="005E4D42"/>
    <w:rsid w:val="005E513B"/>
    <w:rsid w:val="005E60E3"/>
    <w:rsid w:val="005E67E7"/>
    <w:rsid w:val="005E6948"/>
    <w:rsid w:val="005E6A38"/>
    <w:rsid w:val="005E75D4"/>
    <w:rsid w:val="005E7668"/>
    <w:rsid w:val="005F054D"/>
    <w:rsid w:val="005F084B"/>
    <w:rsid w:val="005F1277"/>
    <w:rsid w:val="005F21B7"/>
    <w:rsid w:val="005F22DB"/>
    <w:rsid w:val="005F2CA9"/>
    <w:rsid w:val="005F401C"/>
    <w:rsid w:val="005F4253"/>
    <w:rsid w:val="005F461E"/>
    <w:rsid w:val="005F47D0"/>
    <w:rsid w:val="005F4B46"/>
    <w:rsid w:val="005F4D8D"/>
    <w:rsid w:val="005F4ED6"/>
    <w:rsid w:val="005F553C"/>
    <w:rsid w:val="005F5636"/>
    <w:rsid w:val="005F570E"/>
    <w:rsid w:val="005F58DE"/>
    <w:rsid w:val="005F5990"/>
    <w:rsid w:val="005F5AA2"/>
    <w:rsid w:val="005F6480"/>
    <w:rsid w:val="005F64A0"/>
    <w:rsid w:val="005F67E2"/>
    <w:rsid w:val="005F6933"/>
    <w:rsid w:val="005F6F93"/>
    <w:rsid w:val="005F71DB"/>
    <w:rsid w:val="005F741B"/>
    <w:rsid w:val="005F773E"/>
    <w:rsid w:val="00600073"/>
    <w:rsid w:val="006012EA"/>
    <w:rsid w:val="00601AF4"/>
    <w:rsid w:val="00603444"/>
    <w:rsid w:val="0060363B"/>
    <w:rsid w:val="006037B0"/>
    <w:rsid w:val="00603F1F"/>
    <w:rsid w:val="006048F4"/>
    <w:rsid w:val="00604F48"/>
    <w:rsid w:val="00606AE1"/>
    <w:rsid w:val="00606E6A"/>
    <w:rsid w:val="0060729D"/>
    <w:rsid w:val="00607651"/>
    <w:rsid w:val="0061034B"/>
    <w:rsid w:val="006109BC"/>
    <w:rsid w:val="00611277"/>
    <w:rsid w:val="00611D57"/>
    <w:rsid w:val="00613208"/>
    <w:rsid w:val="006132EE"/>
    <w:rsid w:val="006136BA"/>
    <w:rsid w:val="00613F34"/>
    <w:rsid w:val="0061440B"/>
    <w:rsid w:val="0061470E"/>
    <w:rsid w:val="00614DC1"/>
    <w:rsid w:val="00617A00"/>
    <w:rsid w:val="00617B3B"/>
    <w:rsid w:val="006216F3"/>
    <w:rsid w:val="006219F8"/>
    <w:rsid w:val="00622E1E"/>
    <w:rsid w:val="00623197"/>
    <w:rsid w:val="006233E7"/>
    <w:rsid w:val="00623C85"/>
    <w:rsid w:val="00623E23"/>
    <w:rsid w:val="00623FEF"/>
    <w:rsid w:val="00624645"/>
    <w:rsid w:val="006246D4"/>
    <w:rsid w:val="0062515C"/>
    <w:rsid w:val="00625BF4"/>
    <w:rsid w:val="006269B5"/>
    <w:rsid w:val="00627D3A"/>
    <w:rsid w:val="00630505"/>
    <w:rsid w:val="00630920"/>
    <w:rsid w:val="00630A23"/>
    <w:rsid w:val="00630D84"/>
    <w:rsid w:val="00631178"/>
    <w:rsid w:val="0063118A"/>
    <w:rsid w:val="006312AE"/>
    <w:rsid w:val="006317B8"/>
    <w:rsid w:val="006319B3"/>
    <w:rsid w:val="006332F6"/>
    <w:rsid w:val="00633900"/>
    <w:rsid w:val="006339A5"/>
    <w:rsid w:val="0063457B"/>
    <w:rsid w:val="00634864"/>
    <w:rsid w:val="00635022"/>
    <w:rsid w:val="0063527C"/>
    <w:rsid w:val="00635544"/>
    <w:rsid w:val="0063558D"/>
    <w:rsid w:val="0063579E"/>
    <w:rsid w:val="00636065"/>
    <w:rsid w:val="0063703D"/>
    <w:rsid w:val="00637048"/>
    <w:rsid w:val="006379AA"/>
    <w:rsid w:val="00637B02"/>
    <w:rsid w:val="00642638"/>
    <w:rsid w:val="00642ED9"/>
    <w:rsid w:val="00642F0B"/>
    <w:rsid w:val="006432DE"/>
    <w:rsid w:val="0064359B"/>
    <w:rsid w:val="006438F6"/>
    <w:rsid w:val="006439A5"/>
    <w:rsid w:val="00644754"/>
    <w:rsid w:val="006451DF"/>
    <w:rsid w:val="00645A49"/>
    <w:rsid w:val="00645BEC"/>
    <w:rsid w:val="006461DB"/>
    <w:rsid w:val="00646659"/>
    <w:rsid w:val="00646A81"/>
    <w:rsid w:val="00646BCA"/>
    <w:rsid w:val="00646E53"/>
    <w:rsid w:val="00647A2E"/>
    <w:rsid w:val="00647FD0"/>
    <w:rsid w:val="00650726"/>
    <w:rsid w:val="00650A2D"/>
    <w:rsid w:val="00650D70"/>
    <w:rsid w:val="00651ACB"/>
    <w:rsid w:val="00651AD5"/>
    <w:rsid w:val="006528CA"/>
    <w:rsid w:val="00653339"/>
    <w:rsid w:val="00653DF4"/>
    <w:rsid w:val="006541CC"/>
    <w:rsid w:val="00654282"/>
    <w:rsid w:val="006545BF"/>
    <w:rsid w:val="00654A9A"/>
    <w:rsid w:val="0065508B"/>
    <w:rsid w:val="00655745"/>
    <w:rsid w:val="00655C57"/>
    <w:rsid w:val="0065610B"/>
    <w:rsid w:val="00656123"/>
    <w:rsid w:val="006562AE"/>
    <w:rsid w:val="00656417"/>
    <w:rsid w:val="00656EF5"/>
    <w:rsid w:val="00657FAA"/>
    <w:rsid w:val="00657FBD"/>
    <w:rsid w:val="0066005A"/>
    <w:rsid w:val="00660835"/>
    <w:rsid w:val="00660C21"/>
    <w:rsid w:val="00661A88"/>
    <w:rsid w:val="00662254"/>
    <w:rsid w:val="00662392"/>
    <w:rsid w:val="0066395D"/>
    <w:rsid w:val="00664930"/>
    <w:rsid w:val="00665B3F"/>
    <w:rsid w:val="00665CC4"/>
    <w:rsid w:val="00667117"/>
    <w:rsid w:val="00667731"/>
    <w:rsid w:val="006678BE"/>
    <w:rsid w:val="006701C8"/>
    <w:rsid w:val="00670712"/>
    <w:rsid w:val="00670E58"/>
    <w:rsid w:val="00671061"/>
    <w:rsid w:val="00671343"/>
    <w:rsid w:val="006716F5"/>
    <w:rsid w:val="0067184B"/>
    <w:rsid w:val="00671A32"/>
    <w:rsid w:val="0067360F"/>
    <w:rsid w:val="00673715"/>
    <w:rsid w:val="00673B4B"/>
    <w:rsid w:val="00674404"/>
    <w:rsid w:val="00674FC9"/>
    <w:rsid w:val="0067594B"/>
    <w:rsid w:val="0067655A"/>
    <w:rsid w:val="00677112"/>
    <w:rsid w:val="00677F07"/>
    <w:rsid w:val="00677F28"/>
    <w:rsid w:val="00680720"/>
    <w:rsid w:val="0068118B"/>
    <w:rsid w:val="0068149C"/>
    <w:rsid w:val="00681C6D"/>
    <w:rsid w:val="006820E3"/>
    <w:rsid w:val="00684D77"/>
    <w:rsid w:val="006855A5"/>
    <w:rsid w:val="00685817"/>
    <w:rsid w:val="00685E5C"/>
    <w:rsid w:val="00686457"/>
    <w:rsid w:val="00687391"/>
    <w:rsid w:val="0068747F"/>
    <w:rsid w:val="006874AF"/>
    <w:rsid w:val="00687737"/>
    <w:rsid w:val="00690055"/>
    <w:rsid w:val="00690291"/>
    <w:rsid w:val="006915F5"/>
    <w:rsid w:val="0069179E"/>
    <w:rsid w:val="00691CF5"/>
    <w:rsid w:val="0069258D"/>
    <w:rsid w:val="006925B0"/>
    <w:rsid w:val="00692F95"/>
    <w:rsid w:val="00693125"/>
    <w:rsid w:val="0069338D"/>
    <w:rsid w:val="006944FC"/>
    <w:rsid w:val="00694884"/>
    <w:rsid w:val="0069567F"/>
    <w:rsid w:val="00695D20"/>
    <w:rsid w:val="00696FDA"/>
    <w:rsid w:val="00697C49"/>
    <w:rsid w:val="00697D02"/>
    <w:rsid w:val="006A02EF"/>
    <w:rsid w:val="006A0370"/>
    <w:rsid w:val="006A066E"/>
    <w:rsid w:val="006A1292"/>
    <w:rsid w:val="006A14DA"/>
    <w:rsid w:val="006A283A"/>
    <w:rsid w:val="006A288D"/>
    <w:rsid w:val="006A2D37"/>
    <w:rsid w:val="006A2F12"/>
    <w:rsid w:val="006A3170"/>
    <w:rsid w:val="006A37D1"/>
    <w:rsid w:val="006A38D2"/>
    <w:rsid w:val="006A3E37"/>
    <w:rsid w:val="006A3ECD"/>
    <w:rsid w:val="006A4640"/>
    <w:rsid w:val="006A4B6B"/>
    <w:rsid w:val="006A51B7"/>
    <w:rsid w:val="006A651C"/>
    <w:rsid w:val="006A6794"/>
    <w:rsid w:val="006A6958"/>
    <w:rsid w:val="006A6B6F"/>
    <w:rsid w:val="006A707E"/>
    <w:rsid w:val="006A7CC0"/>
    <w:rsid w:val="006B0B97"/>
    <w:rsid w:val="006B1160"/>
    <w:rsid w:val="006B1280"/>
    <w:rsid w:val="006B14A7"/>
    <w:rsid w:val="006B1644"/>
    <w:rsid w:val="006B1B76"/>
    <w:rsid w:val="006B1DA8"/>
    <w:rsid w:val="006B1E6C"/>
    <w:rsid w:val="006B1EED"/>
    <w:rsid w:val="006B26EC"/>
    <w:rsid w:val="006B3302"/>
    <w:rsid w:val="006B4BAF"/>
    <w:rsid w:val="006B5BA6"/>
    <w:rsid w:val="006B6274"/>
    <w:rsid w:val="006B6B2B"/>
    <w:rsid w:val="006B7728"/>
    <w:rsid w:val="006C05EC"/>
    <w:rsid w:val="006C08D1"/>
    <w:rsid w:val="006C116D"/>
    <w:rsid w:val="006C1561"/>
    <w:rsid w:val="006C15D3"/>
    <w:rsid w:val="006C2AAD"/>
    <w:rsid w:val="006C30A1"/>
    <w:rsid w:val="006C31AB"/>
    <w:rsid w:val="006C44B8"/>
    <w:rsid w:val="006C4545"/>
    <w:rsid w:val="006C47A1"/>
    <w:rsid w:val="006C4AAE"/>
    <w:rsid w:val="006C4F0F"/>
    <w:rsid w:val="006C5608"/>
    <w:rsid w:val="006C5CDA"/>
    <w:rsid w:val="006C5FBF"/>
    <w:rsid w:val="006C63EC"/>
    <w:rsid w:val="006C7A3A"/>
    <w:rsid w:val="006D0769"/>
    <w:rsid w:val="006D077E"/>
    <w:rsid w:val="006D20CA"/>
    <w:rsid w:val="006D2DF8"/>
    <w:rsid w:val="006D3941"/>
    <w:rsid w:val="006D3B15"/>
    <w:rsid w:val="006D41C8"/>
    <w:rsid w:val="006D423C"/>
    <w:rsid w:val="006D4633"/>
    <w:rsid w:val="006D4828"/>
    <w:rsid w:val="006D5711"/>
    <w:rsid w:val="006D72BA"/>
    <w:rsid w:val="006D79DF"/>
    <w:rsid w:val="006D7E0B"/>
    <w:rsid w:val="006E03CA"/>
    <w:rsid w:val="006E089A"/>
    <w:rsid w:val="006E0BC8"/>
    <w:rsid w:val="006E0CF7"/>
    <w:rsid w:val="006E259A"/>
    <w:rsid w:val="006E2926"/>
    <w:rsid w:val="006E29FE"/>
    <w:rsid w:val="006E2E7D"/>
    <w:rsid w:val="006E3FFA"/>
    <w:rsid w:val="006E420F"/>
    <w:rsid w:val="006E43A1"/>
    <w:rsid w:val="006E47B2"/>
    <w:rsid w:val="006E6340"/>
    <w:rsid w:val="006E6F5C"/>
    <w:rsid w:val="006E771F"/>
    <w:rsid w:val="006F01E1"/>
    <w:rsid w:val="006F038A"/>
    <w:rsid w:val="006F0951"/>
    <w:rsid w:val="006F1920"/>
    <w:rsid w:val="006F27B3"/>
    <w:rsid w:val="006F2AE3"/>
    <w:rsid w:val="006F37C8"/>
    <w:rsid w:val="006F3C1A"/>
    <w:rsid w:val="006F410A"/>
    <w:rsid w:val="006F42F5"/>
    <w:rsid w:val="006F5448"/>
    <w:rsid w:val="006F6382"/>
    <w:rsid w:val="006F644F"/>
    <w:rsid w:val="006F7594"/>
    <w:rsid w:val="006F7C13"/>
    <w:rsid w:val="0070055F"/>
    <w:rsid w:val="007008D6"/>
    <w:rsid w:val="00700DC7"/>
    <w:rsid w:val="0070119C"/>
    <w:rsid w:val="00701587"/>
    <w:rsid w:val="007022F6"/>
    <w:rsid w:val="007034CE"/>
    <w:rsid w:val="0070398E"/>
    <w:rsid w:val="00703CE9"/>
    <w:rsid w:val="0070495C"/>
    <w:rsid w:val="00705995"/>
    <w:rsid w:val="00706274"/>
    <w:rsid w:val="007064F5"/>
    <w:rsid w:val="00707478"/>
    <w:rsid w:val="00707ACC"/>
    <w:rsid w:val="00707B2C"/>
    <w:rsid w:val="00707C9C"/>
    <w:rsid w:val="00711631"/>
    <w:rsid w:val="007119B4"/>
    <w:rsid w:val="0071219D"/>
    <w:rsid w:val="00712403"/>
    <w:rsid w:val="00713DFB"/>
    <w:rsid w:val="0071436B"/>
    <w:rsid w:val="007143D2"/>
    <w:rsid w:val="0071469B"/>
    <w:rsid w:val="0071512A"/>
    <w:rsid w:val="00715ED9"/>
    <w:rsid w:val="00716767"/>
    <w:rsid w:val="007168C3"/>
    <w:rsid w:val="0071757B"/>
    <w:rsid w:val="00717B0D"/>
    <w:rsid w:val="007203EC"/>
    <w:rsid w:val="00720439"/>
    <w:rsid w:val="007208A5"/>
    <w:rsid w:val="00720A2E"/>
    <w:rsid w:val="00720DA6"/>
    <w:rsid w:val="00721051"/>
    <w:rsid w:val="007213EB"/>
    <w:rsid w:val="0072213E"/>
    <w:rsid w:val="007222E3"/>
    <w:rsid w:val="00722738"/>
    <w:rsid w:val="00722C0D"/>
    <w:rsid w:val="00723675"/>
    <w:rsid w:val="00723CFF"/>
    <w:rsid w:val="007250B8"/>
    <w:rsid w:val="0072515C"/>
    <w:rsid w:val="007256B6"/>
    <w:rsid w:val="00725B47"/>
    <w:rsid w:val="00725C50"/>
    <w:rsid w:val="007268AD"/>
    <w:rsid w:val="007271BC"/>
    <w:rsid w:val="007271D6"/>
    <w:rsid w:val="00727AC5"/>
    <w:rsid w:val="00727C6E"/>
    <w:rsid w:val="007309A4"/>
    <w:rsid w:val="00730C35"/>
    <w:rsid w:val="007313B4"/>
    <w:rsid w:val="00731455"/>
    <w:rsid w:val="007314CD"/>
    <w:rsid w:val="007316DF"/>
    <w:rsid w:val="007317EC"/>
    <w:rsid w:val="00731B3E"/>
    <w:rsid w:val="00731D5B"/>
    <w:rsid w:val="00732094"/>
    <w:rsid w:val="007329F9"/>
    <w:rsid w:val="00733352"/>
    <w:rsid w:val="007340DF"/>
    <w:rsid w:val="00735C26"/>
    <w:rsid w:val="00736218"/>
    <w:rsid w:val="007362D3"/>
    <w:rsid w:val="00736755"/>
    <w:rsid w:val="007369AD"/>
    <w:rsid w:val="00737F8A"/>
    <w:rsid w:val="00740A06"/>
    <w:rsid w:val="007411FA"/>
    <w:rsid w:val="00741A59"/>
    <w:rsid w:val="00742DFA"/>
    <w:rsid w:val="007432F2"/>
    <w:rsid w:val="00743626"/>
    <w:rsid w:val="007451E1"/>
    <w:rsid w:val="007452A5"/>
    <w:rsid w:val="00745742"/>
    <w:rsid w:val="00745915"/>
    <w:rsid w:val="0074649A"/>
    <w:rsid w:val="00746F0D"/>
    <w:rsid w:val="007470D7"/>
    <w:rsid w:val="00747586"/>
    <w:rsid w:val="007475F4"/>
    <w:rsid w:val="00747C67"/>
    <w:rsid w:val="00747F92"/>
    <w:rsid w:val="007507A4"/>
    <w:rsid w:val="00750A4A"/>
    <w:rsid w:val="00751315"/>
    <w:rsid w:val="00751840"/>
    <w:rsid w:val="007518F0"/>
    <w:rsid w:val="00751D5A"/>
    <w:rsid w:val="00751E0D"/>
    <w:rsid w:val="007522C8"/>
    <w:rsid w:val="007525D8"/>
    <w:rsid w:val="00753155"/>
    <w:rsid w:val="007534EC"/>
    <w:rsid w:val="00753FD1"/>
    <w:rsid w:val="007548E8"/>
    <w:rsid w:val="007560DE"/>
    <w:rsid w:val="00756893"/>
    <w:rsid w:val="00757208"/>
    <w:rsid w:val="007572CB"/>
    <w:rsid w:val="0076051C"/>
    <w:rsid w:val="0076078F"/>
    <w:rsid w:val="00760D62"/>
    <w:rsid w:val="007614BF"/>
    <w:rsid w:val="00761B02"/>
    <w:rsid w:val="007623C1"/>
    <w:rsid w:val="007624EE"/>
    <w:rsid w:val="007633DA"/>
    <w:rsid w:val="00763B22"/>
    <w:rsid w:val="00763BD8"/>
    <w:rsid w:val="00764750"/>
    <w:rsid w:val="007648D4"/>
    <w:rsid w:val="007649A7"/>
    <w:rsid w:val="00764FD3"/>
    <w:rsid w:val="00765A01"/>
    <w:rsid w:val="00766D73"/>
    <w:rsid w:val="00770302"/>
    <w:rsid w:val="00770389"/>
    <w:rsid w:val="00771572"/>
    <w:rsid w:val="00772100"/>
    <w:rsid w:val="00773F08"/>
    <w:rsid w:val="00774DB7"/>
    <w:rsid w:val="00775C1B"/>
    <w:rsid w:val="0077659A"/>
    <w:rsid w:val="007769E5"/>
    <w:rsid w:val="007772BB"/>
    <w:rsid w:val="00777379"/>
    <w:rsid w:val="0077766A"/>
    <w:rsid w:val="007777C2"/>
    <w:rsid w:val="0078047B"/>
    <w:rsid w:val="007807F0"/>
    <w:rsid w:val="00780936"/>
    <w:rsid w:val="0078094E"/>
    <w:rsid w:val="00780DEF"/>
    <w:rsid w:val="007814B1"/>
    <w:rsid w:val="007822AB"/>
    <w:rsid w:val="007827DA"/>
    <w:rsid w:val="00782A60"/>
    <w:rsid w:val="00782B14"/>
    <w:rsid w:val="00783086"/>
    <w:rsid w:val="007833B3"/>
    <w:rsid w:val="007839A4"/>
    <w:rsid w:val="00784516"/>
    <w:rsid w:val="00784638"/>
    <w:rsid w:val="00784897"/>
    <w:rsid w:val="00784A0A"/>
    <w:rsid w:val="00784CC3"/>
    <w:rsid w:val="00785207"/>
    <w:rsid w:val="007858CA"/>
    <w:rsid w:val="00785963"/>
    <w:rsid w:val="00785ABC"/>
    <w:rsid w:val="007865F8"/>
    <w:rsid w:val="007868DC"/>
    <w:rsid w:val="00786D4A"/>
    <w:rsid w:val="00787215"/>
    <w:rsid w:val="007905FA"/>
    <w:rsid w:val="0079080B"/>
    <w:rsid w:val="00790896"/>
    <w:rsid w:val="00790ADD"/>
    <w:rsid w:val="00790FA2"/>
    <w:rsid w:val="00792146"/>
    <w:rsid w:val="007926F1"/>
    <w:rsid w:val="00792D93"/>
    <w:rsid w:val="00792F16"/>
    <w:rsid w:val="00792FC1"/>
    <w:rsid w:val="0079350D"/>
    <w:rsid w:val="00793C59"/>
    <w:rsid w:val="00794A5D"/>
    <w:rsid w:val="00794C60"/>
    <w:rsid w:val="0079529E"/>
    <w:rsid w:val="00795BDC"/>
    <w:rsid w:val="00795EBA"/>
    <w:rsid w:val="007968DB"/>
    <w:rsid w:val="00797AC6"/>
    <w:rsid w:val="007A11D9"/>
    <w:rsid w:val="007A1A80"/>
    <w:rsid w:val="007A1E4F"/>
    <w:rsid w:val="007A2180"/>
    <w:rsid w:val="007A2555"/>
    <w:rsid w:val="007A295D"/>
    <w:rsid w:val="007A2EC8"/>
    <w:rsid w:val="007A3916"/>
    <w:rsid w:val="007A50D0"/>
    <w:rsid w:val="007A60BE"/>
    <w:rsid w:val="007A6377"/>
    <w:rsid w:val="007A696F"/>
    <w:rsid w:val="007A6992"/>
    <w:rsid w:val="007A708C"/>
    <w:rsid w:val="007A70CD"/>
    <w:rsid w:val="007B0CCE"/>
    <w:rsid w:val="007B0F73"/>
    <w:rsid w:val="007B1179"/>
    <w:rsid w:val="007B12EE"/>
    <w:rsid w:val="007B1908"/>
    <w:rsid w:val="007B2B56"/>
    <w:rsid w:val="007B3003"/>
    <w:rsid w:val="007B4159"/>
    <w:rsid w:val="007B5016"/>
    <w:rsid w:val="007B508A"/>
    <w:rsid w:val="007B57BF"/>
    <w:rsid w:val="007B6257"/>
    <w:rsid w:val="007B6BF7"/>
    <w:rsid w:val="007B7B1A"/>
    <w:rsid w:val="007B7BF2"/>
    <w:rsid w:val="007C1F0A"/>
    <w:rsid w:val="007C2035"/>
    <w:rsid w:val="007C37EE"/>
    <w:rsid w:val="007C3829"/>
    <w:rsid w:val="007C4386"/>
    <w:rsid w:val="007C4D69"/>
    <w:rsid w:val="007C5580"/>
    <w:rsid w:val="007C5BF4"/>
    <w:rsid w:val="007C5F72"/>
    <w:rsid w:val="007C633B"/>
    <w:rsid w:val="007C69B4"/>
    <w:rsid w:val="007C6E0C"/>
    <w:rsid w:val="007C70E0"/>
    <w:rsid w:val="007C75B2"/>
    <w:rsid w:val="007C7F7A"/>
    <w:rsid w:val="007D01A8"/>
    <w:rsid w:val="007D070C"/>
    <w:rsid w:val="007D0FA2"/>
    <w:rsid w:val="007D1138"/>
    <w:rsid w:val="007D187C"/>
    <w:rsid w:val="007D1A29"/>
    <w:rsid w:val="007D271D"/>
    <w:rsid w:val="007D298A"/>
    <w:rsid w:val="007D29FC"/>
    <w:rsid w:val="007D2B79"/>
    <w:rsid w:val="007D2BAE"/>
    <w:rsid w:val="007D2D78"/>
    <w:rsid w:val="007D30B0"/>
    <w:rsid w:val="007D310D"/>
    <w:rsid w:val="007D38B4"/>
    <w:rsid w:val="007D46BC"/>
    <w:rsid w:val="007D4792"/>
    <w:rsid w:val="007D5383"/>
    <w:rsid w:val="007D5871"/>
    <w:rsid w:val="007D7146"/>
    <w:rsid w:val="007D7B02"/>
    <w:rsid w:val="007D7B65"/>
    <w:rsid w:val="007D7B8C"/>
    <w:rsid w:val="007E0372"/>
    <w:rsid w:val="007E1CE0"/>
    <w:rsid w:val="007E2942"/>
    <w:rsid w:val="007E3734"/>
    <w:rsid w:val="007E39D4"/>
    <w:rsid w:val="007E3C7F"/>
    <w:rsid w:val="007E3E07"/>
    <w:rsid w:val="007E43B0"/>
    <w:rsid w:val="007E48FA"/>
    <w:rsid w:val="007E6041"/>
    <w:rsid w:val="007E627B"/>
    <w:rsid w:val="007E7234"/>
    <w:rsid w:val="007E7EF3"/>
    <w:rsid w:val="007E7FCF"/>
    <w:rsid w:val="007F084E"/>
    <w:rsid w:val="007F0A78"/>
    <w:rsid w:val="007F13F9"/>
    <w:rsid w:val="007F1AF1"/>
    <w:rsid w:val="007F209B"/>
    <w:rsid w:val="007F2244"/>
    <w:rsid w:val="007F3B27"/>
    <w:rsid w:val="007F43F8"/>
    <w:rsid w:val="007F495D"/>
    <w:rsid w:val="007F49ED"/>
    <w:rsid w:val="007F557B"/>
    <w:rsid w:val="007F5E3D"/>
    <w:rsid w:val="007F6949"/>
    <w:rsid w:val="007F6A43"/>
    <w:rsid w:val="007F6EF3"/>
    <w:rsid w:val="007F71A8"/>
    <w:rsid w:val="007F7487"/>
    <w:rsid w:val="007F74BE"/>
    <w:rsid w:val="0080199F"/>
    <w:rsid w:val="00801BC4"/>
    <w:rsid w:val="00801CC7"/>
    <w:rsid w:val="00801D09"/>
    <w:rsid w:val="00802153"/>
    <w:rsid w:val="00802582"/>
    <w:rsid w:val="0080281C"/>
    <w:rsid w:val="008030F1"/>
    <w:rsid w:val="008031C5"/>
    <w:rsid w:val="008034FC"/>
    <w:rsid w:val="0080518F"/>
    <w:rsid w:val="008053AA"/>
    <w:rsid w:val="008057CE"/>
    <w:rsid w:val="0080661E"/>
    <w:rsid w:val="00806EDA"/>
    <w:rsid w:val="0080729B"/>
    <w:rsid w:val="00807888"/>
    <w:rsid w:val="00810783"/>
    <w:rsid w:val="008111E9"/>
    <w:rsid w:val="00811765"/>
    <w:rsid w:val="00811785"/>
    <w:rsid w:val="00811E99"/>
    <w:rsid w:val="00811F09"/>
    <w:rsid w:val="00812D91"/>
    <w:rsid w:val="0081332A"/>
    <w:rsid w:val="008134F3"/>
    <w:rsid w:val="0081373A"/>
    <w:rsid w:val="008164B5"/>
    <w:rsid w:val="008165E6"/>
    <w:rsid w:val="008170D1"/>
    <w:rsid w:val="008172F6"/>
    <w:rsid w:val="00817432"/>
    <w:rsid w:val="00817656"/>
    <w:rsid w:val="00817A4D"/>
    <w:rsid w:val="00820673"/>
    <w:rsid w:val="008213D4"/>
    <w:rsid w:val="00821D10"/>
    <w:rsid w:val="0082260F"/>
    <w:rsid w:val="00822BE9"/>
    <w:rsid w:val="00822E6E"/>
    <w:rsid w:val="008234FC"/>
    <w:rsid w:val="008248D8"/>
    <w:rsid w:val="008253BB"/>
    <w:rsid w:val="00825DEF"/>
    <w:rsid w:val="008260F9"/>
    <w:rsid w:val="008262EA"/>
    <w:rsid w:val="00826880"/>
    <w:rsid w:val="0082791A"/>
    <w:rsid w:val="00831158"/>
    <w:rsid w:val="008321DC"/>
    <w:rsid w:val="00832C6C"/>
    <w:rsid w:val="00832F90"/>
    <w:rsid w:val="0083340A"/>
    <w:rsid w:val="00833463"/>
    <w:rsid w:val="00833C11"/>
    <w:rsid w:val="00833CCE"/>
    <w:rsid w:val="00833F3A"/>
    <w:rsid w:val="008354D8"/>
    <w:rsid w:val="00836193"/>
    <w:rsid w:val="008362D3"/>
    <w:rsid w:val="0083658F"/>
    <w:rsid w:val="00836860"/>
    <w:rsid w:val="008369DC"/>
    <w:rsid w:val="00836D4A"/>
    <w:rsid w:val="0083735A"/>
    <w:rsid w:val="008378BA"/>
    <w:rsid w:val="00837BAD"/>
    <w:rsid w:val="00837C06"/>
    <w:rsid w:val="00840792"/>
    <w:rsid w:val="00840C6D"/>
    <w:rsid w:val="00840E96"/>
    <w:rsid w:val="00841805"/>
    <w:rsid w:val="00841811"/>
    <w:rsid w:val="0084212B"/>
    <w:rsid w:val="0084224D"/>
    <w:rsid w:val="00842755"/>
    <w:rsid w:val="0084284F"/>
    <w:rsid w:val="008429EF"/>
    <w:rsid w:val="00842DF8"/>
    <w:rsid w:val="00843A6C"/>
    <w:rsid w:val="00845CF5"/>
    <w:rsid w:val="00845FA5"/>
    <w:rsid w:val="0084609F"/>
    <w:rsid w:val="0084626A"/>
    <w:rsid w:val="00846533"/>
    <w:rsid w:val="00847BD6"/>
    <w:rsid w:val="00847CA0"/>
    <w:rsid w:val="00850008"/>
    <w:rsid w:val="008500DC"/>
    <w:rsid w:val="00850E8C"/>
    <w:rsid w:val="00851440"/>
    <w:rsid w:val="00851BAA"/>
    <w:rsid w:val="00852AF7"/>
    <w:rsid w:val="008530B4"/>
    <w:rsid w:val="0085375B"/>
    <w:rsid w:val="008537CA"/>
    <w:rsid w:val="00853941"/>
    <w:rsid w:val="00854B90"/>
    <w:rsid w:val="00855889"/>
    <w:rsid w:val="00855C6D"/>
    <w:rsid w:val="00856317"/>
    <w:rsid w:val="008563F7"/>
    <w:rsid w:val="0085652D"/>
    <w:rsid w:val="0085711D"/>
    <w:rsid w:val="00857AC8"/>
    <w:rsid w:val="0086044B"/>
    <w:rsid w:val="008608C4"/>
    <w:rsid w:val="00861ABB"/>
    <w:rsid w:val="00861C43"/>
    <w:rsid w:val="00862244"/>
    <w:rsid w:val="00862D0D"/>
    <w:rsid w:val="00862F15"/>
    <w:rsid w:val="008645D7"/>
    <w:rsid w:val="00864B45"/>
    <w:rsid w:val="008668E5"/>
    <w:rsid w:val="008674DE"/>
    <w:rsid w:val="00867E1F"/>
    <w:rsid w:val="00870364"/>
    <w:rsid w:val="00870730"/>
    <w:rsid w:val="008716DF"/>
    <w:rsid w:val="0087394F"/>
    <w:rsid w:val="00873988"/>
    <w:rsid w:val="008750F3"/>
    <w:rsid w:val="008751EC"/>
    <w:rsid w:val="00875B3C"/>
    <w:rsid w:val="00876D79"/>
    <w:rsid w:val="0087717D"/>
    <w:rsid w:val="0087766E"/>
    <w:rsid w:val="00880A0F"/>
    <w:rsid w:val="00880D6E"/>
    <w:rsid w:val="00880FE9"/>
    <w:rsid w:val="00881DFC"/>
    <w:rsid w:val="00882176"/>
    <w:rsid w:val="00883762"/>
    <w:rsid w:val="00883A9D"/>
    <w:rsid w:val="00883AC4"/>
    <w:rsid w:val="00884A87"/>
    <w:rsid w:val="008852FB"/>
    <w:rsid w:val="00885633"/>
    <w:rsid w:val="0088625F"/>
    <w:rsid w:val="00886F80"/>
    <w:rsid w:val="00887332"/>
    <w:rsid w:val="00887A02"/>
    <w:rsid w:val="00887DA0"/>
    <w:rsid w:val="00890106"/>
    <w:rsid w:val="0089114B"/>
    <w:rsid w:val="008914A6"/>
    <w:rsid w:val="00891814"/>
    <w:rsid w:val="008919E8"/>
    <w:rsid w:val="00892F95"/>
    <w:rsid w:val="00893001"/>
    <w:rsid w:val="0089334B"/>
    <w:rsid w:val="00893B33"/>
    <w:rsid w:val="00894466"/>
    <w:rsid w:val="00894D07"/>
    <w:rsid w:val="00894DC7"/>
    <w:rsid w:val="0089636F"/>
    <w:rsid w:val="00896D05"/>
    <w:rsid w:val="00896E63"/>
    <w:rsid w:val="00896FE2"/>
    <w:rsid w:val="00897269"/>
    <w:rsid w:val="00897E8D"/>
    <w:rsid w:val="008A0291"/>
    <w:rsid w:val="008A0C19"/>
    <w:rsid w:val="008A0CBA"/>
    <w:rsid w:val="008A1652"/>
    <w:rsid w:val="008A1C3C"/>
    <w:rsid w:val="008A1D5A"/>
    <w:rsid w:val="008A24CE"/>
    <w:rsid w:val="008A25F4"/>
    <w:rsid w:val="008A327D"/>
    <w:rsid w:val="008A38F0"/>
    <w:rsid w:val="008A4374"/>
    <w:rsid w:val="008A45FE"/>
    <w:rsid w:val="008A5106"/>
    <w:rsid w:val="008A51F4"/>
    <w:rsid w:val="008A5D00"/>
    <w:rsid w:val="008A6785"/>
    <w:rsid w:val="008A67B2"/>
    <w:rsid w:val="008A6848"/>
    <w:rsid w:val="008A6924"/>
    <w:rsid w:val="008A7174"/>
    <w:rsid w:val="008A71EE"/>
    <w:rsid w:val="008A7D0D"/>
    <w:rsid w:val="008B0681"/>
    <w:rsid w:val="008B1438"/>
    <w:rsid w:val="008B18E1"/>
    <w:rsid w:val="008B2362"/>
    <w:rsid w:val="008B352C"/>
    <w:rsid w:val="008B3633"/>
    <w:rsid w:val="008B3678"/>
    <w:rsid w:val="008B3C35"/>
    <w:rsid w:val="008B3FBF"/>
    <w:rsid w:val="008B4446"/>
    <w:rsid w:val="008B4814"/>
    <w:rsid w:val="008B4AD0"/>
    <w:rsid w:val="008B4C90"/>
    <w:rsid w:val="008B5D7D"/>
    <w:rsid w:val="008B61F5"/>
    <w:rsid w:val="008B77AB"/>
    <w:rsid w:val="008B7A47"/>
    <w:rsid w:val="008B7BF2"/>
    <w:rsid w:val="008C0073"/>
    <w:rsid w:val="008C09EC"/>
    <w:rsid w:val="008C1079"/>
    <w:rsid w:val="008C152A"/>
    <w:rsid w:val="008C27FA"/>
    <w:rsid w:val="008C31BF"/>
    <w:rsid w:val="008C3937"/>
    <w:rsid w:val="008C39D5"/>
    <w:rsid w:val="008C3AA8"/>
    <w:rsid w:val="008C3C2A"/>
    <w:rsid w:val="008C3C3B"/>
    <w:rsid w:val="008C47A4"/>
    <w:rsid w:val="008C4A20"/>
    <w:rsid w:val="008C4E86"/>
    <w:rsid w:val="008C519D"/>
    <w:rsid w:val="008C56AB"/>
    <w:rsid w:val="008C578A"/>
    <w:rsid w:val="008C68FF"/>
    <w:rsid w:val="008C6F31"/>
    <w:rsid w:val="008C71C0"/>
    <w:rsid w:val="008C79BF"/>
    <w:rsid w:val="008D04C9"/>
    <w:rsid w:val="008D0592"/>
    <w:rsid w:val="008D0DD4"/>
    <w:rsid w:val="008D1214"/>
    <w:rsid w:val="008D13D3"/>
    <w:rsid w:val="008D28F6"/>
    <w:rsid w:val="008D2D1E"/>
    <w:rsid w:val="008D2F6F"/>
    <w:rsid w:val="008D4ED0"/>
    <w:rsid w:val="008D50F4"/>
    <w:rsid w:val="008D539A"/>
    <w:rsid w:val="008D57BE"/>
    <w:rsid w:val="008D586B"/>
    <w:rsid w:val="008D641E"/>
    <w:rsid w:val="008D6CCF"/>
    <w:rsid w:val="008D71D9"/>
    <w:rsid w:val="008E012F"/>
    <w:rsid w:val="008E0338"/>
    <w:rsid w:val="008E041A"/>
    <w:rsid w:val="008E0A1F"/>
    <w:rsid w:val="008E216F"/>
    <w:rsid w:val="008E2603"/>
    <w:rsid w:val="008E282A"/>
    <w:rsid w:val="008E2E71"/>
    <w:rsid w:val="008E364E"/>
    <w:rsid w:val="008E3953"/>
    <w:rsid w:val="008E4042"/>
    <w:rsid w:val="008E47EC"/>
    <w:rsid w:val="008E5255"/>
    <w:rsid w:val="008E5F6A"/>
    <w:rsid w:val="008E60C7"/>
    <w:rsid w:val="008E6E40"/>
    <w:rsid w:val="008E7718"/>
    <w:rsid w:val="008E7FAF"/>
    <w:rsid w:val="008F0807"/>
    <w:rsid w:val="008F0E38"/>
    <w:rsid w:val="008F1BE5"/>
    <w:rsid w:val="008F1F0B"/>
    <w:rsid w:val="008F2639"/>
    <w:rsid w:val="008F27FC"/>
    <w:rsid w:val="008F2A95"/>
    <w:rsid w:val="008F2C2F"/>
    <w:rsid w:val="008F2F30"/>
    <w:rsid w:val="008F345B"/>
    <w:rsid w:val="008F44A9"/>
    <w:rsid w:val="008F473F"/>
    <w:rsid w:val="008F5C14"/>
    <w:rsid w:val="008F5CAA"/>
    <w:rsid w:val="008F6317"/>
    <w:rsid w:val="008F6809"/>
    <w:rsid w:val="008F7653"/>
    <w:rsid w:val="00900214"/>
    <w:rsid w:val="00900BDA"/>
    <w:rsid w:val="00901848"/>
    <w:rsid w:val="0090332A"/>
    <w:rsid w:val="00903559"/>
    <w:rsid w:val="00903E3D"/>
    <w:rsid w:val="00904782"/>
    <w:rsid w:val="00905940"/>
    <w:rsid w:val="00906866"/>
    <w:rsid w:val="009071D4"/>
    <w:rsid w:val="009078DD"/>
    <w:rsid w:val="00910D65"/>
    <w:rsid w:val="00911060"/>
    <w:rsid w:val="009116DA"/>
    <w:rsid w:val="00911FBC"/>
    <w:rsid w:val="00912FE9"/>
    <w:rsid w:val="0091364D"/>
    <w:rsid w:val="00913FBE"/>
    <w:rsid w:val="009140D9"/>
    <w:rsid w:val="00914A13"/>
    <w:rsid w:val="00915441"/>
    <w:rsid w:val="009154EC"/>
    <w:rsid w:val="00915F34"/>
    <w:rsid w:val="00916202"/>
    <w:rsid w:val="0091651B"/>
    <w:rsid w:val="00916BF0"/>
    <w:rsid w:val="00916DDA"/>
    <w:rsid w:val="009174A2"/>
    <w:rsid w:val="00917806"/>
    <w:rsid w:val="009179E0"/>
    <w:rsid w:val="00917D6F"/>
    <w:rsid w:val="00920CBF"/>
    <w:rsid w:val="00922838"/>
    <w:rsid w:val="00923A7A"/>
    <w:rsid w:val="009245F8"/>
    <w:rsid w:val="00924A2E"/>
    <w:rsid w:val="00924F80"/>
    <w:rsid w:val="00924F8D"/>
    <w:rsid w:val="00925280"/>
    <w:rsid w:val="009272BE"/>
    <w:rsid w:val="00927395"/>
    <w:rsid w:val="0093042E"/>
    <w:rsid w:val="00930963"/>
    <w:rsid w:val="00931730"/>
    <w:rsid w:val="00932B67"/>
    <w:rsid w:val="00932F44"/>
    <w:rsid w:val="00933B6E"/>
    <w:rsid w:val="00933BFC"/>
    <w:rsid w:val="0093534C"/>
    <w:rsid w:val="00936845"/>
    <w:rsid w:val="00936B6D"/>
    <w:rsid w:val="00936BD7"/>
    <w:rsid w:val="00937027"/>
    <w:rsid w:val="00937162"/>
    <w:rsid w:val="00937481"/>
    <w:rsid w:val="00940024"/>
    <w:rsid w:val="0094084D"/>
    <w:rsid w:val="00940E4D"/>
    <w:rsid w:val="0094176C"/>
    <w:rsid w:val="00941E39"/>
    <w:rsid w:val="00942202"/>
    <w:rsid w:val="00942D8B"/>
    <w:rsid w:val="009430F3"/>
    <w:rsid w:val="009431BB"/>
    <w:rsid w:val="00943470"/>
    <w:rsid w:val="009438A2"/>
    <w:rsid w:val="009442DC"/>
    <w:rsid w:val="00944414"/>
    <w:rsid w:val="00944A39"/>
    <w:rsid w:val="00944CE1"/>
    <w:rsid w:val="00944FD8"/>
    <w:rsid w:val="0094525C"/>
    <w:rsid w:val="00947C36"/>
    <w:rsid w:val="0095001C"/>
    <w:rsid w:val="00950603"/>
    <w:rsid w:val="00950DFB"/>
    <w:rsid w:val="00951489"/>
    <w:rsid w:val="009518B9"/>
    <w:rsid w:val="009528C9"/>
    <w:rsid w:val="00954220"/>
    <w:rsid w:val="00954927"/>
    <w:rsid w:val="00954FE6"/>
    <w:rsid w:val="0095528B"/>
    <w:rsid w:val="00956A06"/>
    <w:rsid w:val="00956E72"/>
    <w:rsid w:val="009570E8"/>
    <w:rsid w:val="009579AA"/>
    <w:rsid w:val="00957A5E"/>
    <w:rsid w:val="00957FCB"/>
    <w:rsid w:val="0096008D"/>
    <w:rsid w:val="00960417"/>
    <w:rsid w:val="0096075E"/>
    <w:rsid w:val="009611BF"/>
    <w:rsid w:val="00961538"/>
    <w:rsid w:val="009615D3"/>
    <w:rsid w:val="0096167D"/>
    <w:rsid w:val="0096239C"/>
    <w:rsid w:val="009626C5"/>
    <w:rsid w:val="00962787"/>
    <w:rsid w:val="00962D0A"/>
    <w:rsid w:val="00963534"/>
    <w:rsid w:val="00963575"/>
    <w:rsid w:val="00964334"/>
    <w:rsid w:val="00964BDE"/>
    <w:rsid w:val="0096623C"/>
    <w:rsid w:val="00966C83"/>
    <w:rsid w:val="0096703F"/>
    <w:rsid w:val="0096752D"/>
    <w:rsid w:val="00967C65"/>
    <w:rsid w:val="00970914"/>
    <w:rsid w:val="00970EF4"/>
    <w:rsid w:val="009715A7"/>
    <w:rsid w:val="009726F3"/>
    <w:rsid w:val="00972718"/>
    <w:rsid w:val="0097283E"/>
    <w:rsid w:val="00972FB9"/>
    <w:rsid w:val="0097339F"/>
    <w:rsid w:val="00973C25"/>
    <w:rsid w:val="00973CAA"/>
    <w:rsid w:val="00974490"/>
    <w:rsid w:val="00974A1A"/>
    <w:rsid w:val="00974EE9"/>
    <w:rsid w:val="00975167"/>
    <w:rsid w:val="009752DF"/>
    <w:rsid w:val="009752EF"/>
    <w:rsid w:val="0097585F"/>
    <w:rsid w:val="00976D1A"/>
    <w:rsid w:val="00976F75"/>
    <w:rsid w:val="0097716F"/>
    <w:rsid w:val="00977BA2"/>
    <w:rsid w:val="00980116"/>
    <w:rsid w:val="009804E6"/>
    <w:rsid w:val="009823EC"/>
    <w:rsid w:val="0098259C"/>
    <w:rsid w:val="009831FE"/>
    <w:rsid w:val="00983546"/>
    <w:rsid w:val="00983EB6"/>
    <w:rsid w:val="009845DC"/>
    <w:rsid w:val="00985E84"/>
    <w:rsid w:val="0098600B"/>
    <w:rsid w:val="00986833"/>
    <w:rsid w:val="00990316"/>
    <w:rsid w:val="009904D7"/>
    <w:rsid w:val="00992190"/>
    <w:rsid w:val="009930D7"/>
    <w:rsid w:val="009931BF"/>
    <w:rsid w:val="00993301"/>
    <w:rsid w:val="00993DEF"/>
    <w:rsid w:val="00993E6D"/>
    <w:rsid w:val="00993EB6"/>
    <w:rsid w:val="00993FC5"/>
    <w:rsid w:val="0099438D"/>
    <w:rsid w:val="00994E92"/>
    <w:rsid w:val="00995CA6"/>
    <w:rsid w:val="00995D95"/>
    <w:rsid w:val="00995EAC"/>
    <w:rsid w:val="0099609C"/>
    <w:rsid w:val="0099656A"/>
    <w:rsid w:val="00996ECD"/>
    <w:rsid w:val="009973A8"/>
    <w:rsid w:val="009A01EA"/>
    <w:rsid w:val="009A091B"/>
    <w:rsid w:val="009A0D07"/>
    <w:rsid w:val="009A0DE8"/>
    <w:rsid w:val="009A2E8F"/>
    <w:rsid w:val="009A3215"/>
    <w:rsid w:val="009A349C"/>
    <w:rsid w:val="009A4595"/>
    <w:rsid w:val="009A48D4"/>
    <w:rsid w:val="009A6175"/>
    <w:rsid w:val="009A6CD8"/>
    <w:rsid w:val="009A72DD"/>
    <w:rsid w:val="009B0895"/>
    <w:rsid w:val="009B0ED7"/>
    <w:rsid w:val="009B130A"/>
    <w:rsid w:val="009B135D"/>
    <w:rsid w:val="009B149A"/>
    <w:rsid w:val="009B24D3"/>
    <w:rsid w:val="009B253B"/>
    <w:rsid w:val="009B2EAE"/>
    <w:rsid w:val="009B2F1F"/>
    <w:rsid w:val="009B2F29"/>
    <w:rsid w:val="009B30E2"/>
    <w:rsid w:val="009B3767"/>
    <w:rsid w:val="009B3E44"/>
    <w:rsid w:val="009B3EBC"/>
    <w:rsid w:val="009B4008"/>
    <w:rsid w:val="009B486D"/>
    <w:rsid w:val="009B51AD"/>
    <w:rsid w:val="009B5CDD"/>
    <w:rsid w:val="009B756D"/>
    <w:rsid w:val="009C0FF8"/>
    <w:rsid w:val="009C109C"/>
    <w:rsid w:val="009C1D34"/>
    <w:rsid w:val="009C5C76"/>
    <w:rsid w:val="009C5EA5"/>
    <w:rsid w:val="009C5F9F"/>
    <w:rsid w:val="009C7037"/>
    <w:rsid w:val="009C74CD"/>
    <w:rsid w:val="009C75CD"/>
    <w:rsid w:val="009C761B"/>
    <w:rsid w:val="009D0264"/>
    <w:rsid w:val="009D045A"/>
    <w:rsid w:val="009D0488"/>
    <w:rsid w:val="009D133B"/>
    <w:rsid w:val="009D1C56"/>
    <w:rsid w:val="009D2227"/>
    <w:rsid w:val="009D247D"/>
    <w:rsid w:val="009D2488"/>
    <w:rsid w:val="009D297B"/>
    <w:rsid w:val="009D29D9"/>
    <w:rsid w:val="009D30CD"/>
    <w:rsid w:val="009D3648"/>
    <w:rsid w:val="009D42EE"/>
    <w:rsid w:val="009D47B9"/>
    <w:rsid w:val="009D4C1E"/>
    <w:rsid w:val="009D5BA3"/>
    <w:rsid w:val="009D612C"/>
    <w:rsid w:val="009D6263"/>
    <w:rsid w:val="009D62F3"/>
    <w:rsid w:val="009D7DF6"/>
    <w:rsid w:val="009D7E74"/>
    <w:rsid w:val="009E00D0"/>
    <w:rsid w:val="009E0D09"/>
    <w:rsid w:val="009E1173"/>
    <w:rsid w:val="009E214F"/>
    <w:rsid w:val="009E25BD"/>
    <w:rsid w:val="009E2748"/>
    <w:rsid w:val="009E27A1"/>
    <w:rsid w:val="009E4168"/>
    <w:rsid w:val="009E4D1F"/>
    <w:rsid w:val="009E5229"/>
    <w:rsid w:val="009E53EB"/>
    <w:rsid w:val="009E7C11"/>
    <w:rsid w:val="009F01FA"/>
    <w:rsid w:val="009F01FF"/>
    <w:rsid w:val="009F0C64"/>
    <w:rsid w:val="009F0E8C"/>
    <w:rsid w:val="009F137F"/>
    <w:rsid w:val="009F1E89"/>
    <w:rsid w:val="009F2023"/>
    <w:rsid w:val="009F2EA6"/>
    <w:rsid w:val="009F42C4"/>
    <w:rsid w:val="009F532F"/>
    <w:rsid w:val="009F5EED"/>
    <w:rsid w:val="009F75C8"/>
    <w:rsid w:val="00A0002F"/>
    <w:rsid w:val="00A00418"/>
    <w:rsid w:val="00A01400"/>
    <w:rsid w:val="00A02876"/>
    <w:rsid w:val="00A02B6C"/>
    <w:rsid w:val="00A02C48"/>
    <w:rsid w:val="00A03623"/>
    <w:rsid w:val="00A03A7B"/>
    <w:rsid w:val="00A03C52"/>
    <w:rsid w:val="00A05281"/>
    <w:rsid w:val="00A060D3"/>
    <w:rsid w:val="00A06501"/>
    <w:rsid w:val="00A07146"/>
    <w:rsid w:val="00A0723A"/>
    <w:rsid w:val="00A074CA"/>
    <w:rsid w:val="00A07556"/>
    <w:rsid w:val="00A10189"/>
    <w:rsid w:val="00A10487"/>
    <w:rsid w:val="00A105D1"/>
    <w:rsid w:val="00A106DA"/>
    <w:rsid w:val="00A10857"/>
    <w:rsid w:val="00A11972"/>
    <w:rsid w:val="00A11BE7"/>
    <w:rsid w:val="00A11E59"/>
    <w:rsid w:val="00A1271A"/>
    <w:rsid w:val="00A1285E"/>
    <w:rsid w:val="00A12C53"/>
    <w:rsid w:val="00A13424"/>
    <w:rsid w:val="00A1365B"/>
    <w:rsid w:val="00A13C2B"/>
    <w:rsid w:val="00A13DD9"/>
    <w:rsid w:val="00A13E1E"/>
    <w:rsid w:val="00A141FB"/>
    <w:rsid w:val="00A143A5"/>
    <w:rsid w:val="00A14759"/>
    <w:rsid w:val="00A1480D"/>
    <w:rsid w:val="00A14F66"/>
    <w:rsid w:val="00A151C4"/>
    <w:rsid w:val="00A15348"/>
    <w:rsid w:val="00A15899"/>
    <w:rsid w:val="00A15B6D"/>
    <w:rsid w:val="00A16139"/>
    <w:rsid w:val="00A164A3"/>
    <w:rsid w:val="00A166B9"/>
    <w:rsid w:val="00A16B9A"/>
    <w:rsid w:val="00A16D5A"/>
    <w:rsid w:val="00A17482"/>
    <w:rsid w:val="00A176EC"/>
    <w:rsid w:val="00A17E1F"/>
    <w:rsid w:val="00A20621"/>
    <w:rsid w:val="00A20904"/>
    <w:rsid w:val="00A20B01"/>
    <w:rsid w:val="00A216ED"/>
    <w:rsid w:val="00A21BA8"/>
    <w:rsid w:val="00A21D02"/>
    <w:rsid w:val="00A222CF"/>
    <w:rsid w:val="00A22466"/>
    <w:rsid w:val="00A2310F"/>
    <w:rsid w:val="00A24327"/>
    <w:rsid w:val="00A25B2B"/>
    <w:rsid w:val="00A26289"/>
    <w:rsid w:val="00A2641F"/>
    <w:rsid w:val="00A26605"/>
    <w:rsid w:val="00A2729F"/>
    <w:rsid w:val="00A279EE"/>
    <w:rsid w:val="00A3060D"/>
    <w:rsid w:val="00A30C3D"/>
    <w:rsid w:val="00A30F35"/>
    <w:rsid w:val="00A30F79"/>
    <w:rsid w:val="00A313EA"/>
    <w:rsid w:val="00A320B1"/>
    <w:rsid w:val="00A3243B"/>
    <w:rsid w:val="00A328EE"/>
    <w:rsid w:val="00A32969"/>
    <w:rsid w:val="00A32ACD"/>
    <w:rsid w:val="00A332DF"/>
    <w:rsid w:val="00A3376D"/>
    <w:rsid w:val="00A34542"/>
    <w:rsid w:val="00A34F4F"/>
    <w:rsid w:val="00A35FF5"/>
    <w:rsid w:val="00A36C5A"/>
    <w:rsid w:val="00A3705C"/>
    <w:rsid w:val="00A372DF"/>
    <w:rsid w:val="00A3736D"/>
    <w:rsid w:val="00A37D87"/>
    <w:rsid w:val="00A4087F"/>
    <w:rsid w:val="00A40BB7"/>
    <w:rsid w:val="00A40E8A"/>
    <w:rsid w:val="00A414B6"/>
    <w:rsid w:val="00A41522"/>
    <w:rsid w:val="00A4153D"/>
    <w:rsid w:val="00A41C82"/>
    <w:rsid w:val="00A42162"/>
    <w:rsid w:val="00A42B04"/>
    <w:rsid w:val="00A43390"/>
    <w:rsid w:val="00A44289"/>
    <w:rsid w:val="00A447DD"/>
    <w:rsid w:val="00A45F06"/>
    <w:rsid w:val="00A4608A"/>
    <w:rsid w:val="00A4642E"/>
    <w:rsid w:val="00A465FD"/>
    <w:rsid w:val="00A468A8"/>
    <w:rsid w:val="00A47142"/>
    <w:rsid w:val="00A47C1F"/>
    <w:rsid w:val="00A50F9A"/>
    <w:rsid w:val="00A515C6"/>
    <w:rsid w:val="00A515EE"/>
    <w:rsid w:val="00A524DA"/>
    <w:rsid w:val="00A52C9C"/>
    <w:rsid w:val="00A53C91"/>
    <w:rsid w:val="00A53D77"/>
    <w:rsid w:val="00A549F8"/>
    <w:rsid w:val="00A54BC9"/>
    <w:rsid w:val="00A55271"/>
    <w:rsid w:val="00A5617C"/>
    <w:rsid w:val="00A5635A"/>
    <w:rsid w:val="00A56E0C"/>
    <w:rsid w:val="00A56ED2"/>
    <w:rsid w:val="00A6014C"/>
    <w:rsid w:val="00A608A5"/>
    <w:rsid w:val="00A60B1A"/>
    <w:rsid w:val="00A60FA5"/>
    <w:rsid w:val="00A61A31"/>
    <w:rsid w:val="00A61AB8"/>
    <w:rsid w:val="00A61C7B"/>
    <w:rsid w:val="00A61D1E"/>
    <w:rsid w:val="00A63051"/>
    <w:rsid w:val="00A636A5"/>
    <w:rsid w:val="00A63DCE"/>
    <w:rsid w:val="00A64B5A"/>
    <w:rsid w:val="00A65703"/>
    <w:rsid w:val="00A65792"/>
    <w:rsid w:val="00A66097"/>
    <w:rsid w:val="00A6679C"/>
    <w:rsid w:val="00A66B52"/>
    <w:rsid w:val="00A66E0A"/>
    <w:rsid w:val="00A677B5"/>
    <w:rsid w:val="00A67E35"/>
    <w:rsid w:val="00A67ECA"/>
    <w:rsid w:val="00A67F31"/>
    <w:rsid w:val="00A702FF"/>
    <w:rsid w:val="00A70968"/>
    <w:rsid w:val="00A709A6"/>
    <w:rsid w:val="00A71A59"/>
    <w:rsid w:val="00A71C6B"/>
    <w:rsid w:val="00A72979"/>
    <w:rsid w:val="00A72D3E"/>
    <w:rsid w:val="00A72F7E"/>
    <w:rsid w:val="00A72F80"/>
    <w:rsid w:val="00A73C9B"/>
    <w:rsid w:val="00A73FFB"/>
    <w:rsid w:val="00A743B6"/>
    <w:rsid w:val="00A74755"/>
    <w:rsid w:val="00A750D0"/>
    <w:rsid w:val="00A75998"/>
    <w:rsid w:val="00A76171"/>
    <w:rsid w:val="00A761F2"/>
    <w:rsid w:val="00A763F2"/>
    <w:rsid w:val="00A76B17"/>
    <w:rsid w:val="00A76FFA"/>
    <w:rsid w:val="00A815C3"/>
    <w:rsid w:val="00A817B2"/>
    <w:rsid w:val="00A817E1"/>
    <w:rsid w:val="00A81BCA"/>
    <w:rsid w:val="00A82481"/>
    <w:rsid w:val="00A82722"/>
    <w:rsid w:val="00A82851"/>
    <w:rsid w:val="00A82BEA"/>
    <w:rsid w:val="00A83134"/>
    <w:rsid w:val="00A83587"/>
    <w:rsid w:val="00A83B85"/>
    <w:rsid w:val="00A8425B"/>
    <w:rsid w:val="00A8659F"/>
    <w:rsid w:val="00A87DED"/>
    <w:rsid w:val="00A90C4F"/>
    <w:rsid w:val="00A90FFD"/>
    <w:rsid w:val="00A91414"/>
    <w:rsid w:val="00A9195C"/>
    <w:rsid w:val="00A91A12"/>
    <w:rsid w:val="00A91FA4"/>
    <w:rsid w:val="00A923C4"/>
    <w:rsid w:val="00A92A9F"/>
    <w:rsid w:val="00A9362C"/>
    <w:rsid w:val="00A9363E"/>
    <w:rsid w:val="00A938CC"/>
    <w:rsid w:val="00A93A22"/>
    <w:rsid w:val="00A93C19"/>
    <w:rsid w:val="00A93E76"/>
    <w:rsid w:val="00A94BC5"/>
    <w:rsid w:val="00A95060"/>
    <w:rsid w:val="00A95AF0"/>
    <w:rsid w:val="00A95B0B"/>
    <w:rsid w:val="00A95FBF"/>
    <w:rsid w:val="00A9621F"/>
    <w:rsid w:val="00A965BA"/>
    <w:rsid w:val="00A96C7B"/>
    <w:rsid w:val="00A9722B"/>
    <w:rsid w:val="00A97568"/>
    <w:rsid w:val="00AA0182"/>
    <w:rsid w:val="00AA03BA"/>
    <w:rsid w:val="00AA083D"/>
    <w:rsid w:val="00AA0BE1"/>
    <w:rsid w:val="00AA0DBE"/>
    <w:rsid w:val="00AA1F98"/>
    <w:rsid w:val="00AA29B2"/>
    <w:rsid w:val="00AA2B1E"/>
    <w:rsid w:val="00AA38AB"/>
    <w:rsid w:val="00AA39C3"/>
    <w:rsid w:val="00AA3B5F"/>
    <w:rsid w:val="00AA434B"/>
    <w:rsid w:val="00AA551F"/>
    <w:rsid w:val="00AA57CD"/>
    <w:rsid w:val="00AA5A66"/>
    <w:rsid w:val="00AA5D87"/>
    <w:rsid w:val="00AA675E"/>
    <w:rsid w:val="00AA74CA"/>
    <w:rsid w:val="00AA77C8"/>
    <w:rsid w:val="00AA7963"/>
    <w:rsid w:val="00AA7C60"/>
    <w:rsid w:val="00AA7D2E"/>
    <w:rsid w:val="00AB04AE"/>
    <w:rsid w:val="00AB078A"/>
    <w:rsid w:val="00AB098D"/>
    <w:rsid w:val="00AB12BC"/>
    <w:rsid w:val="00AB12CF"/>
    <w:rsid w:val="00AB19AF"/>
    <w:rsid w:val="00AB1D91"/>
    <w:rsid w:val="00AB20BA"/>
    <w:rsid w:val="00AB27DA"/>
    <w:rsid w:val="00AB29CC"/>
    <w:rsid w:val="00AB2F1D"/>
    <w:rsid w:val="00AB36A9"/>
    <w:rsid w:val="00AB5022"/>
    <w:rsid w:val="00AB55B2"/>
    <w:rsid w:val="00AB5F2A"/>
    <w:rsid w:val="00AB6781"/>
    <w:rsid w:val="00AB7779"/>
    <w:rsid w:val="00AC096C"/>
    <w:rsid w:val="00AC1166"/>
    <w:rsid w:val="00AC1DA5"/>
    <w:rsid w:val="00AC206C"/>
    <w:rsid w:val="00AC2221"/>
    <w:rsid w:val="00AC24B8"/>
    <w:rsid w:val="00AC2E02"/>
    <w:rsid w:val="00AC2ED6"/>
    <w:rsid w:val="00AC2F79"/>
    <w:rsid w:val="00AC3586"/>
    <w:rsid w:val="00AC380C"/>
    <w:rsid w:val="00AC3EA0"/>
    <w:rsid w:val="00AC442F"/>
    <w:rsid w:val="00AC4F26"/>
    <w:rsid w:val="00AC4F3F"/>
    <w:rsid w:val="00AC5499"/>
    <w:rsid w:val="00AC5FFF"/>
    <w:rsid w:val="00AC6033"/>
    <w:rsid w:val="00AC6340"/>
    <w:rsid w:val="00AC6484"/>
    <w:rsid w:val="00AC6CA8"/>
    <w:rsid w:val="00AC76F2"/>
    <w:rsid w:val="00AD013C"/>
    <w:rsid w:val="00AD0241"/>
    <w:rsid w:val="00AD042B"/>
    <w:rsid w:val="00AD0999"/>
    <w:rsid w:val="00AD0BE1"/>
    <w:rsid w:val="00AD0D19"/>
    <w:rsid w:val="00AD1839"/>
    <w:rsid w:val="00AD20F1"/>
    <w:rsid w:val="00AD2B57"/>
    <w:rsid w:val="00AD378E"/>
    <w:rsid w:val="00AD3B82"/>
    <w:rsid w:val="00AD409F"/>
    <w:rsid w:val="00AD4186"/>
    <w:rsid w:val="00AD523D"/>
    <w:rsid w:val="00AD5C02"/>
    <w:rsid w:val="00AD60D6"/>
    <w:rsid w:val="00AD67B4"/>
    <w:rsid w:val="00AD6B54"/>
    <w:rsid w:val="00AD7029"/>
    <w:rsid w:val="00AD7B23"/>
    <w:rsid w:val="00AE0DD8"/>
    <w:rsid w:val="00AE1D3D"/>
    <w:rsid w:val="00AE2454"/>
    <w:rsid w:val="00AE3897"/>
    <w:rsid w:val="00AE38B1"/>
    <w:rsid w:val="00AE4DA5"/>
    <w:rsid w:val="00AE5070"/>
    <w:rsid w:val="00AE5C5B"/>
    <w:rsid w:val="00AE62E6"/>
    <w:rsid w:val="00AE6A72"/>
    <w:rsid w:val="00AE6B87"/>
    <w:rsid w:val="00AE6B8D"/>
    <w:rsid w:val="00AE6CF2"/>
    <w:rsid w:val="00AE71B4"/>
    <w:rsid w:val="00AF03FB"/>
    <w:rsid w:val="00AF0F26"/>
    <w:rsid w:val="00AF10C7"/>
    <w:rsid w:val="00AF1C89"/>
    <w:rsid w:val="00AF1FE5"/>
    <w:rsid w:val="00AF23AA"/>
    <w:rsid w:val="00AF29C6"/>
    <w:rsid w:val="00AF2A52"/>
    <w:rsid w:val="00AF3390"/>
    <w:rsid w:val="00AF4EB1"/>
    <w:rsid w:val="00AF5145"/>
    <w:rsid w:val="00AF5E81"/>
    <w:rsid w:val="00AF6833"/>
    <w:rsid w:val="00AF79EC"/>
    <w:rsid w:val="00B00497"/>
    <w:rsid w:val="00B0065D"/>
    <w:rsid w:val="00B014D0"/>
    <w:rsid w:val="00B019B2"/>
    <w:rsid w:val="00B01F71"/>
    <w:rsid w:val="00B01FD6"/>
    <w:rsid w:val="00B02169"/>
    <w:rsid w:val="00B0235F"/>
    <w:rsid w:val="00B02A8E"/>
    <w:rsid w:val="00B02C69"/>
    <w:rsid w:val="00B02D8A"/>
    <w:rsid w:val="00B032B2"/>
    <w:rsid w:val="00B0365A"/>
    <w:rsid w:val="00B04173"/>
    <w:rsid w:val="00B044BC"/>
    <w:rsid w:val="00B04856"/>
    <w:rsid w:val="00B04D10"/>
    <w:rsid w:val="00B051D7"/>
    <w:rsid w:val="00B05E09"/>
    <w:rsid w:val="00B06998"/>
    <w:rsid w:val="00B06E21"/>
    <w:rsid w:val="00B07BEF"/>
    <w:rsid w:val="00B10875"/>
    <w:rsid w:val="00B11DE0"/>
    <w:rsid w:val="00B12167"/>
    <w:rsid w:val="00B12696"/>
    <w:rsid w:val="00B1279E"/>
    <w:rsid w:val="00B135DD"/>
    <w:rsid w:val="00B1479D"/>
    <w:rsid w:val="00B149F6"/>
    <w:rsid w:val="00B1504C"/>
    <w:rsid w:val="00B15074"/>
    <w:rsid w:val="00B152DA"/>
    <w:rsid w:val="00B155E2"/>
    <w:rsid w:val="00B16026"/>
    <w:rsid w:val="00B168E7"/>
    <w:rsid w:val="00B175F7"/>
    <w:rsid w:val="00B178AF"/>
    <w:rsid w:val="00B17CAC"/>
    <w:rsid w:val="00B21AFE"/>
    <w:rsid w:val="00B21F43"/>
    <w:rsid w:val="00B225CE"/>
    <w:rsid w:val="00B22ED4"/>
    <w:rsid w:val="00B23B52"/>
    <w:rsid w:val="00B246DC"/>
    <w:rsid w:val="00B24999"/>
    <w:rsid w:val="00B24B35"/>
    <w:rsid w:val="00B254BE"/>
    <w:rsid w:val="00B25565"/>
    <w:rsid w:val="00B26CF1"/>
    <w:rsid w:val="00B26D5E"/>
    <w:rsid w:val="00B3170A"/>
    <w:rsid w:val="00B31712"/>
    <w:rsid w:val="00B32244"/>
    <w:rsid w:val="00B32A6F"/>
    <w:rsid w:val="00B33600"/>
    <w:rsid w:val="00B33788"/>
    <w:rsid w:val="00B33EA6"/>
    <w:rsid w:val="00B34C67"/>
    <w:rsid w:val="00B355D8"/>
    <w:rsid w:val="00B35A84"/>
    <w:rsid w:val="00B366AF"/>
    <w:rsid w:val="00B37745"/>
    <w:rsid w:val="00B37798"/>
    <w:rsid w:val="00B37D5A"/>
    <w:rsid w:val="00B40048"/>
    <w:rsid w:val="00B40570"/>
    <w:rsid w:val="00B40624"/>
    <w:rsid w:val="00B40709"/>
    <w:rsid w:val="00B40C24"/>
    <w:rsid w:val="00B4146A"/>
    <w:rsid w:val="00B41E92"/>
    <w:rsid w:val="00B42054"/>
    <w:rsid w:val="00B4286B"/>
    <w:rsid w:val="00B42AF4"/>
    <w:rsid w:val="00B43767"/>
    <w:rsid w:val="00B437C8"/>
    <w:rsid w:val="00B43DCE"/>
    <w:rsid w:val="00B44010"/>
    <w:rsid w:val="00B44159"/>
    <w:rsid w:val="00B44CA2"/>
    <w:rsid w:val="00B453D1"/>
    <w:rsid w:val="00B45C4A"/>
    <w:rsid w:val="00B466E9"/>
    <w:rsid w:val="00B46AD1"/>
    <w:rsid w:val="00B47130"/>
    <w:rsid w:val="00B4767F"/>
    <w:rsid w:val="00B47801"/>
    <w:rsid w:val="00B5007E"/>
    <w:rsid w:val="00B53CE0"/>
    <w:rsid w:val="00B53E34"/>
    <w:rsid w:val="00B53E4A"/>
    <w:rsid w:val="00B54E60"/>
    <w:rsid w:val="00B551ED"/>
    <w:rsid w:val="00B55527"/>
    <w:rsid w:val="00B5573D"/>
    <w:rsid w:val="00B55C59"/>
    <w:rsid w:val="00B57857"/>
    <w:rsid w:val="00B5790F"/>
    <w:rsid w:val="00B57A39"/>
    <w:rsid w:val="00B604B4"/>
    <w:rsid w:val="00B608B3"/>
    <w:rsid w:val="00B60DCB"/>
    <w:rsid w:val="00B6132C"/>
    <w:rsid w:val="00B622E7"/>
    <w:rsid w:val="00B629FE"/>
    <w:rsid w:val="00B6317D"/>
    <w:rsid w:val="00B641F2"/>
    <w:rsid w:val="00B65706"/>
    <w:rsid w:val="00B65B35"/>
    <w:rsid w:val="00B671B2"/>
    <w:rsid w:val="00B70519"/>
    <w:rsid w:val="00B70A44"/>
    <w:rsid w:val="00B70BF7"/>
    <w:rsid w:val="00B71C2C"/>
    <w:rsid w:val="00B722CA"/>
    <w:rsid w:val="00B72352"/>
    <w:rsid w:val="00B724F8"/>
    <w:rsid w:val="00B728D0"/>
    <w:rsid w:val="00B72DAC"/>
    <w:rsid w:val="00B737FC"/>
    <w:rsid w:val="00B73D69"/>
    <w:rsid w:val="00B74255"/>
    <w:rsid w:val="00B74331"/>
    <w:rsid w:val="00B74F0E"/>
    <w:rsid w:val="00B7548D"/>
    <w:rsid w:val="00B754E2"/>
    <w:rsid w:val="00B764D3"/>
    <w:rsid w:val="00B76EB8"/>
    <w:rsid w:val="00B7712E"/>
    <w:rsid w:val="00B77D18"/>
    <w:rsid w:val="00B77E2C"/>
    <w:rsid w:val="00B804FC"/>
    <w:rsid w:val="00B80526"/>
    <w:rsid w:val="00B80B5B"/>
    <w:rsid w:val="00B80C1A"/>
    <w:rsid w:val="00B80FFD"/>
    <w:rsid w:val="00B814D7"/>
    <w:rsid w:val="00B81C24"/>
    <w:rsid w:val="00B81FB6"/>
    <w:rsid w:val="00B82360"/>
    <w:rsid w:val="00B842F2"/>
    <w:rsid w:val="00B850F7"/>
    <w:rsid w:val="00B85CEB"/>
    <w:rsid w:val="00B85D2F"/>
    <w:rsid w:val="00B863DE"/>
    <w:rsid w:val="00B866B0"/>
    <w:rsid w:val="00B866EC"/>
    <w:rsid w:val="00B86812"/>
    <w:rsid w:val="00B8738F"/>
    <w:rsid w:val="00B91C6B"/>
    <w:rsid w:val="00B9206B"/>
    <w:rsid w:val="00B927B9"/>
    <w:rsid w:val="00B9287D"/>
    <w:rsid w:val="00B92A7A"/>
    <w:rsid w:val="00B9301B"/>
    <w:rsid w:val="00B9310F"/>
    <w:rsid w:val="00B9487A"/>
    <w:rsid w:val="00B96F5A"/>
    <w:rsid w:val="00B971E4"/>
    <w:rsid w:val="00B972FD"/>
    <w:rsid w:val="00BA0648"/>
    <w:rsid w:val="00BA0705"/>
    <w:rsid w:val="00BA18BB"/>
    <w:rsid w:val="00BA1C6A"/>
    <w:rsid w:val="00BA1ED0"/>
    <w:rsid w:val="00BA2535"/>
    <w:rsid w:val="00BA2AAC"/>
    <w:rsid w:val="00BA34AD"/>
    <w:rsid w:val="00BA37E9"/>
    <w:rsid w:val="00BA5E0A"/>
    <w:rsid w:val="00BA604B"/>
    <w:rsid w:val="00BA625F"/>
    <w:rsid w:val="00BA788B"/>
    <w:rsid w:val="00BA7E40"/>
    <w:rsid w:val="00BB0F0E"/>
    <w:rsid w:val="00BB112C"/>
    <w:rsid w:val="00BB2631"/>
    <w:rsid w:val="00BB2781"/>
    <w:rsid w:val="00BB27A6"/>
    <w:rsid w:val="00BB2AC3"/>
    <w:rsid w:val="00BB2BAF"/>
    <w:rsid w:val="00BB307E"/>
    <w:rsid w:val="00BB3768"/>
    <w:rsid w:val="00BB5068"/>
    <w:rsid w:val="00BB5B08"/>
    <w:rsid w:val="00BB5C0C"/>
    <w:rsid w:val="00BB5C2D"/>
    <w:rsid w:val="00BB6B50"/>
    <w:rsid w:val="00BB74F2"/>
    <w:rsid w:val="00BB7F4D"/>
    <w:rsid w:val="00BC004C"/>
    <w:rsid w:val="00BC0D7E"/>
    <w:rsid w:val="00BC18BF"/>
    <w:rsid w:val="00BC1C74"/>
    <w:rsid w:val="00BC2CFE"/>
    <w:rsid w:val="00BC2F08"/>
    <w:rsid w:val="00BC2F46"/>
    <w:rsid w:val="00BC404F"/>
    <w:rsid w:val="00BC536E"/>
    <w:rsid w:val="00BC66FD"/>
    <w:rsid w:val="00BC6707"/>
    <w:rsid w:val="00BC690A"/>
    <w:rsid w:val="00BC6A27"/>
    <w:rsid w:val="00BC6F05"/>
    <w:rsid w:val="00BC79EB"/>
    <w:rsid w:val="00BC7C8E"/>
    <w:rsid w:val="00BD0A22"/>
    <w:rsid w:val="00BD246C"/>
    <w:rsid w:val="00BD27B6"/>
    <w:rsid w:val="00BD28C2"/>
    <w:rsid w:val="00BD2E1B"/>
    <w:rsid w:val="00BD42B7"/>
    <w:rsid w:val="00BD4700"/>
    <w:rsid w:val="00BD4BD3"/>
    <w:rsid w:val="00BD59C0"/>
    <w:rsid w:val="00BD68B5"/>
    <w:rsid w:val="00BD7025"/>
    <w:rsid w:val="00BD7D94"/>
    <w:rsid w:val="00BE0589"/>
    <w:rsid w:val="00BE1477"/>
    <w:rsid w:val="00BE1991"/>
    <w:rsid w:val="00BE19E4"/>
    <w:rsid w:val="00BE21E1"/>
    <w:rsid w:val="00BE3195"/>
    <w:rsid w:val="00BE54EA"/>
    <w:rsid w:val="00BE64D0"/>
    <w:rsid w:val="00BE6DE2"/>
    <w:rsid w:val="00BE749B"/>
    <w:rsid w:val="00BF0259"/>
    <w:rsid w:val="00BF0269"/>
    <w:rsid w:val="00BF0285"/>
    <w:rsid w:val="00BF096C"/>
    <w:rsid w:val="00BF0B52"/>
    <w:rsid w:val="00BF0C61"/>
    <w:rsid w:val="00BF1828"/>
    <w:rsid w:val="00BF198E"/>
    <w:rsid w:val="00BF39B6"/>
    <w:rsid w:val="00BF400F"/>
    <w:rsid w:val="00BF4303"/>
    <w:rsid w:val="00BF44B5"/>
    <w:rsid w:val="00BF46FF"/>
    <w:rsid w:val="00BF4F25"/>
    <w:rsid w:val="00BF5922"/>
    <w:rsid w:val="00BF5DB1"/>
    <w:rsid w:val="00BF687B"/>
    <w:rsid w:val="00BF6FFD"/>
    <w:rsid w:val="00BF70CC"/>
    <w:rsid w:val="00BF71A7"/>
    <w:rsid w:val="00BF7CDC"/>
    <w:rsid w:val="00C0003B"/>
    <w:rsid w:val="00C0017E"/>
    <w:rsid w:val="00C00223"/>
    <w:rsid w:val="00C00B6B"/>
    <w:rsid w:val="00C00C00"/>
    <w:rsid w:val="00C01026"/>
    <w:rsid w:val="00C02A8A"/>
    <w:rsid w:val="00C033F7"/>
    <w:rsid w:val="00C038EE"/>
    <w:rsid w:val="00C04F40"/>
    <w:rsid w:val="00C05761"/>
    <w:rsid w:val="00C057ED"/>
    <w:rsid w:val="00C05BCF"/>
    <w:rsid w:val="00C06A9E"/>
    <w:rsid w:val="00C06EA1"/>
    <w:rsid w:val="00C070C3"/>
    <w:rsid w:val="00C0719A"/>
    <w:rsid w:val="00C0759D"/>
    <w:rsid w:val="00C07C07"/>
    <w:rsid w:val="00C07E5C"/>
    <w:rsid w:val="00C11DEB"/>
    <w:rsid w:val="00C12101"/>
    <w:rsid w:val="00C12E68"/>
    <w:rsid w:val="00C13D54"/>
    <w:rsid w:val="00C14C29"/>
    <w:rsid w:val="00C14F49"/>
    <w:rsid w:val="00C15428"/>
    <w:rsid w:val="00C164C7"/>
    <w:rsid w:val="00C164D4"/>
    <w:rsid w:val="00C16655"/>
    <w:rsid w:val="00C16E86"/>
    <w:rsid w:val="00C1781F"/>
    <w:rsid w:val="00C17CBE"/>
    <w:rsid w:val="00C20011"/>
    <w:rsid w:val="00C205E6"/>
    <w:rsid w:val="00C21893"/>
    <w:rsid w:val="00C21970"/>
    <w:rsid w:val="00C21E03"/>
    <w:rsid w:val="00C21EF0"/>
    <w:rsid w:val="00C21F22"/>
    <w:rsid w:val="00C22733"/>
    <w:rsid w:val="00C2288E"/>
    <w:rsid w:val="00C22F18"/>
    <w:rsid w:val="00C23C44"/>
    <w:rsid w:val="00C23CD8"/>
    <w:rsid w:val="00C244DD"/>
    <w:rsid w:val="00C24A40"/>
    <w:rsid w:val="00C24CDF"/>
    <w:rsid w:val="00C24D31"/>
    <w:rsid w:val="00C24EE2"/>
    <w:rsid w:val="00C30ABC"/>
    <w:rsid w:val="00C30DC8"/>
    <w:rsid w:val="00C312BB"/>
    <w:rsid w:val="00C31C05"/>
    <w:rsid w:val="00C31F47"/>
    <w:rsid w:val="00C3272A"/>
    <w:rsid w:val="00C33751"/>
    <w:rsid w:val="00C33855"/>
    <w:rsid w:val="00C33906"/>
    <w:rsid w:val="00C33B32"/>
    <w:rsid w:val="00C34507"/>
    <w:rsid w:val="00C347B4"/>
    <w:rsid w:val="00C34980"/>
    <w:rsid w:val="00C34B86"/>
    <w:rsid w:val="00C35115"/>
    <w:rsid w:val="00C35739"/>
    <w:rsid w:val="00C35B9B"/>
    <w:rsid w:val="00C366F0"/>
    <w:rsid w:val="00C376E2"/>
    <w:rsid w:val="00C3799B"/>
    <w:rsid w:val="00C37D92"/>
    <w:rsid w:val="00C37E49"/>
    <w:rsid w:val="00C4080D"/>
    <w:rsid w:val="00C40FB5"/>
    <w:rsid w:val="00C417C7"/>
    <w:rsid w:val="00C41890"/>
    <w:rsid w:val="00C4191F"/>
    <w:rsid w:val="00C41990"/>
    <w:rsid w:val="00C41FAF"/>
    <w:rsid w:val="00C422CC"/>
    <w:rsid w:val="00C430A4"/>
    <w:rsid w:val="00C43744"/>
    <w:rsid w:val="00C43DCE"/>
    <w:rsid w:val="00C43E8F"/>
    <w:rsid w:val="00C44025"/>
    <w:rsid w:val="00C4473A"/>
    <w:rsid w:val="00C46C9B"/>
    <w:rsid w:val="00C47C45"/>
    <w:rsid w:val="00C503A8"/>
    <w:rsid w:val="00C507BB"/>
    <w:rsid w:val="00C50818"/>
    <w:rsid w:val="00C50984"/>
    <w:rsid w:val="00C509C7"/>
    <w:rsid w:val="00C50BC5"/>
    <w:rsid w:val="00C5169D"/>
    <w:rsid w:val="00C5207D"/>
    <w:rsid w:val="00C52221"/>
    <w:rsid w:val="00C523A0"/>
    <w:rsid w:val="00C5281D"/>
    <w:rsid w:val="00C5306A"/>
    <w:rsid w:val="00C533B7"/>
    <w:rsid w:val="00C55769"/>
    <w:rsid w:val="00C55AD8"/>
    <w:rsid w:val="00C55C0C"/>
    <w:rsid w:val="00C56EF0"/>
    <w:rsid w:val="00C5722E"/>
    <w:rsid w:val="00C5750B"/>
    <w:rsid w:val="00C5751D"/>
    <w:rsid w:val="00C5773D"/>
    <w:rsid w:val="00C57AFB"/>
    <w:rsid w:val="00C57F14"/>
    <w:rsid w:val="00C600D2"/>
    <w:rsid w:val="00C6066C"/>
    <w:rsid w:val="00C60814"/>
    <w:rsid w:val="00C60C1B"/>
    <w:rsid w:val="00C612C3"/>
    <w:rsid w:val="00C6173D"/>
    <w:rsid w:val="00C61F72"/>
    <w:rsid w:val="00C62C01"/>
    <w:rsid w:val="00C63885"/>
    <w:rsid w:val="00C63E64"/>
    <w:rsid w:val="00C640FC"/>
    <w:rsid w:val="00C6436B"/>
    <w:rsid w:val="00C6450D"/>
    <w:rsid w:val="00C64AD6"/>
    <w:rsid w:val="00C65D6D"/>
    <w:rsid w:val="00C6646C"/>
    <w:rsid w:val="00C66989"/>
    <w:rsid w:val="00C669D9"/>
    <w:rsid w:val="00C66F07"/>
    <w:rsid w:val="00C67407"/>
    <w:rsid w:val="00C674AF"/>
    <w:rsid w:val="00C67AD3"/>
    <w:rsid w:val="00C708F9"/>
    <w:rsid w:val="00C710EA"/>
    <w:rsid w:val="00C714E8"/>
    <w:rsid w:val="00C71F26"/>
    <w:rsid w:val="00C72755"/>
    <w:rsid w:val="00C72905"/>
    <w:rsid w:val="00C72BE9"/>
    <w:rsid w:val="00C72D4F"/>
    <w:rsid w:val="00C750C2"/>
    <w:rsid w:val="00C758D6"/>
    <w:rsid w:val="00C75E84"/>
    <w:rsid w:val="00C762EF"/>
    <w:rsid w:val="00C76806"/>
    <w:rsid w:val="00C76AB3"/>
    <w:rsid w:val="00C7738A"/>
    <w:rsid w:val="00C779BB"/>
    <w:rsid w:val="00C81240"/>
    <w:rsid w:val="00C816F0"/>
    <w:rsid w:val="00C821FE"/>
    <w:rsid w:val="00C822E9"/>
    <w:rsid w:val="00C8233E"/>
    <w:rsid w:val="00C824C3"/>
    <w:rsid w:val="00C8295D"/>
    <w:rsid w:val="00C82FAF"/>
    <w:rsid w:val="00C83594"/>
    <w:rsid w:val="00C838A6"/>
    <w:rsid w:val="00C8407A"/>
    <w:rsid w:val="00C86891"/>
    <w:rsid w:val="00C86A3C"/>
    <w:rsid w:val="00C86ECC"/>
    <w:rsid w:val="00C871A4"/>
    <w:rsid w:val="00C87995"/>
    <w:rsid w:val="00C87C2D"/>
    <w:rsid w:val="00C90694"/>
    <w:rsid w:val="00C90D76"/>
    <w:rsid w:val="00C90D87"/>
    <w:rsid w:val="00C915E6"/>
    <w:rsid w:val="00C919D5"/>
    <w:rsid w:val="00C91B7E"/>
    <w:rsid w:val="00C91F76"/>
    <w:rsid w:val="00C9272B"/>
    <w:rsid w:val="00C92755"/>
    <w:rsid w:val="00C92E89"/>
    <w:rsid w:val="00C92FE1"/>
    <w:rsid w:val="00C938DD"/>
    <w:rsid w:val="00C93E5B"/>
    <w:rsid w:val="00C94189"/>
    <w:rsid w:val="00C943D3"/>
    <w:rsid w:val="00C9444B"/>
    <w:rsid w:val="00C944C8"/>
    <w:rsid w:val="00C94777"/>
    <w:rsid w:val="00C95A75"/>
    <w:rsid w:val="00C95CDB"/>
    <w:rsid w:val="00C97037"/>
    <w:rsid w:val="00C97071"/>
    <w:rsid w:val="00C9758A"/>
    <w:rsid w:val="00C97847"/>
    <w:rsid w:val="00C978D9"/>
    <w:rsid w:val="00C97A38"/>
    <w:rsid w:val="00CA05E1"/>
    <w:rsid w:val="00CA0A6F"/>
    <w:rsid w:val="00CA0D85"/>
    <w:rsid w:val="00CA0DA3"/>
    <w:rsid w:val="00CA0F57"/>
    <w:rsid w:val="00CA122B"/>
    <w:rsid w:val="00CA17F3"/>
    <w:rsid w:val="00CA1E51"/>
    <w:rsid w:val="00CA220B"/>
    <w:rsid w:val="00CA29BD"/>
    <w:rsid w:val="00CA2BC6"/>
    <w:rsid w:val="00CA2CB6"/>
    <w:rsid w:val="00CA3D2C"/>
    <w:rsid w:val="00CA4387"/>
    <w:rsid w:val="00CA53DF"/>
    <w:rsid w:val="00CA772C"/>
    <w:rsid w:val="00CA7EA8"/>
    <w:rsid w:val="00CB12CE"/>
    <w:rsid w:val="00CB13DC"/>
    <w:rsid w:val="00CB1408"/>
    <w:rsid w:val="00CB1940"/>
    <w:rsid w:val="00CB2DC6"/>
    <w:rsid w:val="00CB31A1"/>
    <w:rsid w:val="00CB33DD"/>
    <w:rsid w:val="00CB39F7"/>
    <w:rsid w:val="00CB3DE6"/>
    <w:rsid w:val="00CB3FE0"/>
    <w:rsid w:val="00CB4521"/>
    <w:rsid w:val="00CB514D"/>
    <w:rsid w:val="00CB5614"/>
    <w:rsid w:val="00CB58B7"/>
    <w:rsid w:val="00CB619A"/>
    <w:rsid w:val="00CB653D"/>
    <w:rsid w:val="00CB6961"/>
    <w:rsid w:val="00CB6985"/>
    <w:rsid w:val="00CB6D7B"/>
    <w:rsid w:val="00CB70BB"/>
    <w:rsid w:val="00CB7929"/>
    <w:rsid w:val="00CB7EFD"/>
    <w:rsid w:val="00CC00A7"/>
    <w:rsid w:val="00CC033F"/>
    <w:rsid w:val="00CC0BDE"/>
    <w:rsid w:val="00CC104F"/>
    <w:rsid w:val="00CC25A5"/>
    <w:rsid w:val="00CC2E04"/>
    <w:rsid w:val="00CC3A2A"/>
    <w:rsid w:val="00CC3B54"/>
    <w:rsid w:val="00CC3C07"/>
    <w:rsid w:val="00CC3E9D"/>
    <w:rsid w:val="00CC5622"/>
    <w:rsid w:val="00CC5A28"/>
    <w:rsid w:val="00CC6210"/>
    <w:rsid w:val="00CC64C2"/>
    <w:rsid w:val="00CC6838"/>
    <w:rsid w:val="00CC68B1"/>
    <w:rsid w:val="00CC7D99"/>
    <w:rsid w:val="00CD0685"/>
    <w:rsid w:val="00CD24DB"/>
    <w:rsid w:val="00CD27DA"/>
    <w:rsid w:val="00CD341C"/>
    <w:rsid w:val="00CD3620"/>
    <w:rsid w:val="00CD3C9F"/>
    <w:rsid w:val="00CD4E21"/>
    <w:rsid w:val="00CD4F2B"/>
    <w:rsid w:val="00CD53EB"/>
    <w:rsid w:val="00CD653A"/>
    <w:rsid w:val="00CD6A62"/>
    <w:rsid w:val="00CD6F96"/>
    <w:rsid w:val="00CE01DA"/>
    <w:rsid w:val="00CE08C5"/>
    <w:rsid w:val="00CE0C27"/>
    <w:rsid w:val="00CE15D2"/>
    <w:rsid w:val="00CE18BA"/>
    <w:rsid w:val="00CE19DF"/>
    <w:rsid w:val="00CE352B"/>
    <w:rsid w:val="00CE3BDE"/>
    <w:rsid w:val="00CE4806"/>
    <w:rsid w:val="00CE489A"/>
    <w:rsid w:val="00CE4BC7"/>
    <w:rsid w:val="00CE4DF0"/>
    <w:rsid w:val="00CE4FB8"/>
    <w:rsid w:val="00CE5649"/>
    <w:rsid w:val="00CE5847"/>
    <w:rsid w:val="00CE5A24"/>
    <w:rsid w:val="00CE6802"/>
    <w:rsid w:val="00CE6CCC"/>
    <w:rsid w:val="00CE6EA1"/>
    <w:rsid w:val="00CE7449"/>
    <w:rsid w:val="00CE7BF0"/>
    <w:rsid w:val="00CE7D46"/>
    <w:rsid w:val="00CE7DA8"/>
    <w:rsid w:val="00CE7EAC"/>
    <w:rsid w:val="00CF053D"/>
    <w:rsid w:val="00CF0F3B"/>
    <w:rsid w:val="00CF1252"/>
    <w:rsid w:val="00CF2423"/>
    <w:rsid w:val="00CF26BE"/>
    <w:rsid w:val="00CF383B"/>
    <w:rsid w:val="00CF38AB"/>
    <w:rsid w:val="00CF38AE"/>
    <w:rsid w:val="00CF4118"/>
    <w:rsid w:val="00CF4229"/>
    <w:rsid w:val="00CF4A8E"/>
    <w:rsid w:val="00CF5635"/>
    <w:rsid w:val="00CF5A2F"/>
    <w:rsid w:val="00CF6A06"/>
    <w:rsid w:val="00CF6C2C"/>
    <w:rsid w:val="00CF7122"/>
    <w:rsid w:val="00CF7488"/>
    <w:rsid w:val="00CF76EF"/>
    <w:rsid w:val="00D0041D"/>
    <w:rsid w:val="00D01067"/>
    <w:rsid w:val="00D0139E"/>
    <w:rsid w:val="00D01E43"/>
    <w:rsid w:val="00D01F95"/>
    <w:rsid w:val="00D021FE"/>
    <w:rsid w:val="00D024D6"/>
    <w:rsid w:val="00D03A3D"/>
    <w:rsid w:val="00D03C59"/>
    <w:rsid w:val="00D04170"/>
    <w:rsid w:val="00D04793"/>
    <w:rsid w:val="00D05493"/>
    <w:rsid w:val="00D05553"/>
    <w:rsid w:val="00D05C29"/>
    <w:rsid w:val="00D05F29"/>
    <w:rsid w:val="00D067D9"/>
    <w:rsid w:val="00D06C0D"/>
    <w:rsid w:val="00D06CB3"/>
    <w:rsid w:val="00D07091"/>
    <w:rsid w:val="00D07739"/>
    <w:rsid w:val="00D109A0"/>
    <w:rsid w:val="00D10C1C"/>
    <w:rsid w:val="00D10C9F"/>
    <w:rsid w:val="00D115F2"/>
    <w:rsid w:val="00D11DA8"/>
    <w:rsid w:val="00D11E37"/>
    <w:rsid w:val="00D1323A"/>
    <w:rsid w:val="00D1343E"/>
    <w:rsid w:val="00D14227"/>
    <w:rsid w:val="00D1430E"/>
    <w:rsid w:val="00D14F00"/>
    <w:rsid w:val="00D15193"/>
    <w:rsid w:val="00D15613"/>
    <w:rsid w:val="00D16191"/>
    <w:rsid w:val="00D16BE4"/>
    <w:rsid w:val="00D16D86"/>
    <w:rsid w:val="00D17594"/>
    <w:rsid w:val="00D17D6F"/>
    <w:rsid w:val="00D17D95"/>
    <w:rsid w:val="00D20571"/>
    <w:rsid w:val="00D21857"/>
    <w:rsid w:val="00D2320E"/>
    <w:rsid w:val="00D23FE7"/>
    <w:rsid w:val="00D24D34"/>
    <w:rsid w:val="00D256A6"/>
    <w:rsid w:val="00D25867"/>
    <w:rsid w:val="00D25AFB"/>
    <w:rsid w:val="00D31225"/>
    <w:rsid w:val="00D31821"/>
    <w:rsid w:val="00D32E98"/>
    <w:rsid w:val="00D335BE"/>
    <w:rsid w:val="00D336A4"/>
    <w:rsid w:val="00D33836"/>
    <w:rsid w:val="00D33AF1"/>
    <w:rsid w:val="00D34DDF"/>
    <w:rsid w:val="00D350D1"/>
    <w:rsid w:val="00D355F5"/>
    <w:rsid w:val="00D36688"/>
    <w:rsid w:val="00D36E2A"/>
    <w:rsid w:val="00D37182"/>
    <w:rsid w:val="00D37540"/>
    <w:rsid w:val="00D37E67"/>
    <w:rsid w:val="00D41154"/>
    <w:rsid w:val="00D416BF"/>
    <w:rsid w:val="00D41CE6"/>
    <w:rsid w:val="00D41D9F"/>
    <w:rsid w:val="00D41EDE"/>
    <w:rsid w:val="00D424AC"/>
    <w:rsid w:val="00D42C2B"/>
    <w:rsid w:val="00D438AD"/>
    <w:rsid w:val="00D43B0D"/>
    <w:rsid w:val="00D4427B"/>
    <w:rsid w:val="00D44A7A"/>
    <w:rsid w:val="00D44B38"/>
    <w:rsid w:val="00D44D20"/>
    <w:rsid w:val="00D45503"/>
    <w:rsid w:val="00D45738"/>
    <w:rsid w:val="00D462D7"/>
    <w:rsid w:val="00D46ED5"/>
    <w:rsid w:val="00D477F3"/>
    <w:rsid w:val="00D5026E"/>
    <w:rsid w:val="00D50527"/>
    <w:rsid w:val="00D5135C"/>
    <w:rsid w:val="00D51C3A"/>
    <w:rsid w:val="00D521C2"/>
    <w:rsid w:val="00D52878"/>
    <w:rsid w:val="00D52DD7"/>
    <w:rsid w:val="00D52F9A"/>
    <w:rsid w:val="00D53B2F"/>
    <w:rsid w:val="00D53D74"/>
    <w:rsid w:val="00D542DF"/>
    <w:rsid w:val="00D54861"/>
    <w:rsid w:val="00D54D50"/>
    <w:rsid w:val="00D54ECB"/>
    <w:rsid w:val="00D55641"/>
    <w:rsid w:val="00D571FB"/>
    <w:rsid w:val="00D60CC0"/>
    <w:rsid w:val="00D6204D"/>
    <w:rsid w:val="00D62C87"/>
    <w:rsid w:val="00D62FAB"/>
    <w:rsid w:val="00D631A4"/>
    <w:rsid w:val="00D6381E"/>
    <w:rsid w:val="00D63AF7"/>
    <w:rsid w:val="00D63D17"/>
    <w:rsid w:val="00D64522"/>
    <w:rsid w:val="00D64E04"/>
    <w:rsid w:val="00D65373"/>
    <w:rsid w:val="00D65A09"/>
    <w:rsid w:val="00D65ABB"/>
    <w:rsid w:val="00D66483"/>
    <w:rsid w:val="00D66AE8"/>
    <w:rsid w:val="00D66D4A"/>
    <w:rsid w:val="00D6768E"/>
    <w:rsid w:val="00D6773F"/>
    <w:rsid w:val="00D67D8F"/>
    <w:rsid w:val="00D70013"/>
    <w:rsid w:val="00D7087C"/>
    <w:rsid w:val="00D713BB"/>
    <w:rsid w:val="00D714F7"/>
    <w:rsid w:val="00D71588"/>
    <w:rsid w:val="00D7191B"/>
    <w:rsid w:val="00D722EA"/>
    <w:rsid w:val="00D72697"/>
    <w:rsid w:val="00D72796"/>
    <w:rsid w:val="00D7282C"/>
    <w:rsid w:val="00D72BEC"/>
    <w:rsid w:val="00D72CCA"/>
    <w:rsid w:val="00D73001"/>
    <w:rsid w:val="00D7318C"/>
    <w:rsid w:val="00D749BA"/>
    <w:rsid w:val="00D76243"/>
    <w:rsid w:val="00D76436"/>
    <w:rsid w:val="00D76852"/>
    <w:rsid w:val="00D76C77"/>
    <w:rsid w:val="00D76FED"/>
    <w:rsid w:val="00D81114"/>
    <w:rsid w:val="00D811D4"/>
    <w:rsid w:val="00D81550"/>
    <w:rsid w:val="00D81723"/>
    <w:rsid w:val="00D81A2E"/>
    <w:rsid w:val="00D81C9C"/>
    <w:rsid w:val="00D823CC"/>
    <w:rsid w:val="00D82656"/>
    <w:rsid w:val="00D827D6"/>
    <w:rsid w:val="00D839C2"/>
    <w:rsid w:val="00D859C9"/>
    <w:rsid w:val="00D8694B"/>
    <w:rsid w:val="00D86D03"/>
    <w:rsid w:val="00D8731A"/>
    <w:rsid w:val="00D877A6"/>
    <w:rsid w:val="00D87D23"/>
    <w:rsid w:val="00D87DAA"/>
    <w:rsid w:val="00D90048"/>
    <w:rsid w:val="00D90B80"/>
    <w:rsid w:val="00D90E23"/>
    <w:rsid w:val="00D91668"/>
    <w:rsid w:val="00D9168B"/>
    <w:rsid w:val="00D918C8"/>
    <w:rsid w:val="00D929A5"/>
    <w:rsid w:val="00D92A11"/>
    <w:rsid w:val="00D92AD9"/>
    <w:rsid w:val="00D94351"/>
    <w:rsid w:val="00D95684"/>
    <w:rsid w:val="00D95824"/>
    <w:rsid w:val="00D95905"/>
    <w:rsid w:val="00D95D82"/>
    <w:rsid w:val="00D96BDD"/>
    <w:rsid w:val="00D973FE"/>
    <w:rsid w:val="00D97C8C"/>
    <w:rsid w:val="00DA0C46"/>
    <w:rsid w:val="00DA1772"/>
    <w:rsid w:val="00DA1B0D"/>
    <w:rsid w:val="00DA1EBE"/>
    <w:rsid w:val="00DA2572"/>
    <w:rsid w:val="00DA29C5"/>
    <w:rsid w:val="00DA2A11"/>
    <w:rsid w:val="00DA2C3B"/>
    <w:rsid w:val="00DA300D"/>
    <w:rsid w:val="00DA3295"/>
    <w:rsid w:val="00DA426B"/>
    <w:rsid w:val="00DA4C0C"/>
    <w:rsid w:val="00DA589F"/>
    <w:rsid w:val="00DA5ED8"/>
    <w:rsid w:val="00DA66FC"/>
    <w:rsid w:val="00DA6756"/>
    <w:rsid w:val="00DA6B38"/>
    <w:rsid w:val="00DA6CEC"/>
    <w:rsid w:val="00DA6FC9"/>
    <w:rsid w:val="00DA79BE"/>
    <w:rsid w:val="00DA7BCC"/>
    <w:rsid w:val="00DA7F6A"/>
    <w:rsid w:val="00DB00AE"/>
    <w:rsid w:val="00DB1158"/>
    <w:rsid w:val="00DB1AE3"/>
    <w:rsid w:val="00DB2212"/>
    <w:rsid w:val="00DB2904"/>
    <w:rsid w:val="00DB2FF7"/>
    <w:rsid w:val="00DB3B89"/>
    <w:rsid w:val="00DB3ED6"/>
    <w:rsid w:val="00DB448F"/>
    <w:rsid w:val="00DB56F5"/>
    <w:rsid w:val="00DB5B29"/>
    <w:rsid w:val="00DB640C"/>
    <w:rsid w:val="00DB6582"/>
    <w:rsid w:val="00DB661F"/>
    <w:rsid w:val="00DB6677"/>
    <w:rsid w:val="00DC05F9"/>
    <w:rsid w:val="00DC0D13"/>
    <w:rsid w:val="00DC1083"/>
    <w:rsid w:val="00DC15CC"/>
    <w:rsid w:val="00DC1AF5"/>
    <w:rsid w:val="00DC28B9"/>
    <w:rsid w:val="00DC386A"/>
    <w:rsid w:val="00DC3BB8"/>
    <w:rsid w:val="00DC3C48"/>
    <w:rsid w:val="00DC4AEA"/>
    <w:rsid w:val="00DC4DD1"/>
    <w:rsid w:val="00DC52C7"/>
    <w:rsid w:val="00DC6449"/>
    <w:rsid w:val="00DC743A"/>
    <w:rsid w:val="00DC766B"/>
    <w:rsid w:val="00DC7CA5"/>
    <w:rsid w:val="00DD0EF5"/>
    <w:rsid w:val="00DD133A"/>
    <w:rsid w:val="00DD13D3"/>
    <w:rsid w:val="00DD1561"/>
    <w:rsid w:val="00DD1B15"/>
    <w:rsid w:val="00DD222D"/>
    <w:rsid w:val="00DD25DD"/>
    <w:rsid w:val="00DD32D9"/>
    <w:rsid w:val="00DD3DBE"/>
    <w:rsid w:val="00DD3E12"/>
    <w:rsid w:val="00DD3EA6"/>
    <w:rsid w:val="00DD4068"/>
    <w:rsid w:val="00DD4224"/>
    <w:rsid w:val="00DD4471"/>
    <w:rsid w:val="00DD4E2D"/>
    <w:rsid w:val="00DD5EEC"/>
    <w:rsid w:val="00DD63F2"/>
    <w:rsid w:val="00DD6621"/>
    <w:rsid w:val="00DD6C5E"/>
    <w:rsid w:val="00DD7600"/>
    <w:rsid w:val="00DE0791"/>
    <w:rsid w:val="00DE086D"/>
    <w:rsid w:val="00DE1035"/>
    <w:rsid w:val="00DE19BF"/>
    <w:rsid w:val="00DE2D99"/>
    <w:rsid w:val="00DE3283"/>
    <w:rsid w:val="00DE3289"/>
    <w:rsid w:val="00DE32F8"/>
    <w:rsid w:val="00DE37BA"/>
    <w:rsid w:val="00DE3860"/>
    <w:rsid w:val="00DE3A64"/>
    <w:rsid w:val="00DE40C9"/>
    <w:rsid w:val="00DE41B4"/>
    <w:rsid w:val="00DE4B3E"/>
    <w:rsid w:val="00DE658E"/>
    <w:rsid w:val="00DE6710"/>
    <w:rsid w:val="00DE7707"/>
    <w:rsid w:val="00DE7D5B"/>
    <w:rsid w:val="00DF1FBC"/>
    <w:rsid w:val="00DF236D"/>
    <w:rsid w:val="00DF2C04"/>
    <w:rsid w:val="00DF3100"/>
    <w:rsid w:val="00DF323A"/>
    <w:rsid w:val="00DF3E5B"/>
    <w:rsid w:val="00DF3ECA"/>
    <w:rsid w:val="00DF3F24"/>
    <w:rsid w:val="00DF437B"/>
    <w:rsid w:val="00DF449E"/>
    <w:rsid w:val="00DF5B5D"/>
    <w:rsid w:val="00DF60FE"/>
    <w:rsid w:val="00DF64A7"/>
    <w:rsid w:val="00DF654E"/>
    <w:rsid w:val="00DF7A07"/>
    <w:rsid w:val="00E00F96"/>
    <w:rsid w:val="00E014AB"/>
    <w:rsid w:val="00E017D3"/>
    <w:rsid w:val="00E0191B"/>
    <w:rsid w:val="00E01C46"/>
    <w:rsid w:val="00E02177"/>
    <w:rsid w:val="00E0234D"/>
    <w:rsid w:val="00E02DA1"/>
    <w:rsid w:val="00E036A7"/>
    <w:rsid w:val="00E043A4"/>
    <w:rsid w:val="00E05381"/>
    <w:rsid w:val="00E054D0"/>
    <w:rsid w:val="00E0595F"/>
    <w:rsid w:val="00E06336"/>
    <w:rsid w:val="00E064EF"/>
    <w:rsid w:val="00E06931"/>
    <w:rsid w:val="00E0761A"/>
    <w:rsid w:val="00E10674"/>
    <w:rsid w:val="00E10DEB"/>
    <w:rsid w:val="00E116C0"/>
    <w:rsid w:val="00E1194C"/>
    <w:rsid w:val="00E122F7"/>
    <w:rsid w:val="00E12510"/>
    <w:rsid w:val="00E12CA8"/>
    <w:rsid w:val="00E1358A"/>
    <w:rsid w:val="00E14CA5"/>
    <w:rsid w:val="00E15527"/>
    <w:rsid w:val="00E162E1"/>
    <w:rsid w:val="00E16E25"/>
    <w:rsid w:val="00E176F9"/>
    <w:rsid w:val="00E20228"/>
    <w:rsid w:val="00E202B1"/>
    <w:rsid w:val="00E208F7"/>
    <w:rsid w:val="00E21EC0"/>
    <w:rsid w:val="00E223EE"/>
    <w:rsid w:val="00E225D6"/>
    <w:rsid w:val="00E227CF"/>
    <w:rsid w:val="00E235AD"/>
    <w:rsid w:val="00E24355"/>
    <w:rsid w:val="00E24B97"/>
    <w:rsid w:val="00E24E84"/>
    <w:rsid w:val="00E2592E"/>
    <w:rsid w:val="00E25D8C"/>
    <w:rsid w:val="00E25DCB"/>
    <w:rsid w:val="00E25ED8"/>
    <w:rsid w:val="00E2605B"/>
    <w:rsid w:val="00E260E8"/>
    <w:rsid w:val="00E26301"/>
    <w:rsid w:val="00E26D14"/>
    <w:rsid w:val="00E27F13"/>
    <w:rsid w:val="00E300D7"/>
    <w:rsid w:val="00E318D6"/>
    <w:rsid w:val="00E31AD0"/>
    <w:rsid w:val="00E31CB9"/>
    <w:rsid w:val="00E31F6C"/>
    <w:rsid w:val="00E32008"/>
    <w:rsid w:val="00E3280C"/>
    <w:rsid w:val="00E32E9C"/>
    <w:rsid w:val="00E33AC9"/>
    <w:rsid w:val="00E33B7B"/>
    <w:rsid w:val="00E3418F"/>
    <w:rsid w:val="00E35045"/>
    <w:rsid w:val="00E3518A"/>
    <w:rsid w:val="00E35A7F"/>
    <w:rsid w:val="00E36ABC"/>
    <w:rsid w:val="00E36B92"/>
    <w:rsid w:val="00E36D2A"/>
    <w:rsid w:val="00E376BA"/>
    <w:rsid w:val="00E37BFA"/>
    <w:rsid w:val="00E37D04"/>
    <w:rsid w:val="00E40243"/>
    <w:rsid w:val="00E40C95"/>
    <w:rsid w:val="00E42A63"/>
    <w:rsid w:val="00E43076"/>
    <w:rsid w:val="00E4332A"/>
    <w:rsid w:val="00E43ADA"/>
    <w:rsid w:val="00E43D0E"/>
    <w:rsid w:val="00E4490E"/>
    <w:rsid w:val="00E47054"/>
    <w:rsid w:val="00E47277"/>
    <w:rsid w:val="00E475E7"/>
    <w:rsid w:val="00E47F84"/>
    <w:rsid w:val="00E51601"/>
    <w:rsid w:val="00E51ADA"/>
    <w:rsid w:val="00E52122"/>
    <w:rsid w:val="00E52AAD"/>
    <w:rsid w:val="00E52E69"/>
    <w:rsid w:val="00E54707"/>
    <w:rsid w:val="00E547D0"/>
    <w:rsid w:val="00E54856"/>
    <w:rsid w:val="00E564F3"/>
    <w:rsid w:val="00E56E8B"/>
    <w:rsid w:val="00E575EA"/>
    <w:rsid w:val="00E57AC0"/>
    <w:rsid w:val="00E57DFF"/>
    <w:rsid w:val="00E601A7"/>
    <w:rsid w:val="00E60D39"/>
    <w:rsid w:val="00E618E9"/>
    <w:rsid w:val="00E63303"/>
    <w:rsid w:val="00E6464B"/>
    <w:rsid w:val="00E64703"/>
    <w:rsid w:val="00E647CE"/>
    <w:rsid w:val="00E64F82"/>
    <w:rsid w:val="00E65456"/>
    <w:rsid w:val="00E65A0D"/>
    <w:rsid w:val="00E65A10"/>
    <w:rsid w:val="00E65A51"/>
    <w:rsid w:val="00E65EA3"/>
    <w:rsid w:val="00E65F90"/>
    <w:rsid w:val="00E66132"/>
    <w:rsid w:val="00E66DD3"/>
    <w:rsid w:val="00E675B1"/>
    <w:rsid w:val="00E67949"/>
    <w:rsid w:val="00E6796C"/>
    <w:rsid w:val="00E67C35"/>
    <w:rsid w:val="00E7022D"/>
    <w:rsid w:val="00E703F5"/>
    <w:rsid w:val="00E7051E"/>
    <w:rsid w:val="00E715CD"/>
    <w:rsid w:val="00E721A2"/>
    <w:rsid w:val="00E73320"/>
    <w:rsid w:val="00E7359F"/>
    <w:rsid w:val="00E73759"/>
    <w:rsid w:val="00E74988"/>
    <w:rsid w:val="00E74DB7"/>
    <w:rsid w:val="00E74DFE"/>
    <w:rsid w:val="00E74EDA"/>
    <w:rsid w:val="00E7558D"/>
    <w:rsid w:val="00E75FCB"/>
    <w:rsid w:val="00E7603D"/>
    <w:rsid w:val="00E7799C"/>
    <w:rsid w:val="00E80F6E"/>
    <w:rsid w:val="00E81D9C"/>
    <w:rsid w:val="00E81E49"/>
    <w:rsid w:val="00E81EA3"/>
    <w:rsid w:val="00E82560"/>
    <w:rsid w:val="00E82C2B"/>
    <w:rsid w:val="00E82D9E"/>
    <w:rsid w:val="00E8353D"/>
    <w:rsid w:val="00E84AA1"/>
    <w:rsid w:val="00E861B5"/>
    <w:rsid w:val="00E867FC"/>
    <w:rsid w:val="00E86921"/>
    <w:rsid w:val="00E90711"/>
    <w:rsid w:val="00E9077D"/>
    <w:rsid w:val="00E909A5"/>
    <w:rsid w:val="00E91CE3"/>
    <w:rsid w:val="00E91F11"/>
    <w:rsid w:val="00E9243E"/>
    <w:rsid w:val="00E92776"/>
    <w:rsid w:val="00E92902"/>
    <w:rsid w:val="00E92A95"/>
    <w:rsid w:val="00E92C0B"/>
    <w:rsid w:val="00E92E38"/>
    <w:rsid w:val="00E93E1D"/>
    <w:rsid w:val="00E9647B"/>
    <w:rsid w:val="00E971C0"/>
    <w:rsid w:val="00E97309"/>
    <w:rsid w:val="00E97DE9"/>
    <w:rsid w:val="00EA0273"/>
    <w:rsid w:val="00EA10AA"/>
    <w:rsid w:val="00EA1713"/>
    <w:rsid w:val="00EA2377"/>
    <w:rsid w:val="00EA2BB7"/>
    <w:rsid w:val="00EA2C0B"/>
    <w:rsid w:val="00EA2DB7"/>
    <w:rsid w:val="00EA3562"/>
    <w:rsid w:val="00EA40C9"/>
    <w:rsid w:val="00EA4771"/>
    <w:rsid w:val="00EA4F66"/>
    <w:rsid w:val="00EA53C0"/>
    <w:rsid w:val="00EA55CA"/>
    <w:rsid w:val="00EA5944"/>
    <w:rsid w:val="00EA5AE5"/>
    <w:rsid w:val="00EA6035"/>
    <w:rsid w:val="00EA61CB"/>
    <w:rsid w:val="00EA6516"/>
    <w:rsid w:val="00EA7234"/>
    <w:rsid w:val="00EA7455"/>
    <w:rsid w:val="00EA755B"/>
    <w:rsid w:val="00EA7D2A"/>
    <w:rsid w:val="00EB0572"/>
    <w:rsid w:val="00EB0F9E"/>
    <w:rsid w:val="00EB18D2"/>
    <w:rsid w:val="00EB4638"/>
    <w:rsid w:val="00EB4CDE"/>
    <w:rsid w:val="00EB55C4"/>
    <w:rsid w:val="00EB5FFB"/>
    <w:rsid w:val="00EB639F"/>
    <w:rsid w:val="00EB6445"/>
    <w:rsid w:val="00EB6B12"/>
    <w:rsid w:val="00EB6C21"/>
    <w:rsid w:val="00EB7C5C"/>
    <w:rsid w:val="00EC054A"/>
    <w:rsid w:val="00EC11E4"/>
    <w:rsid w:val="00EC191A"/>
    <w:rsid w:val="00EC27F1"/>
    <w:rsid w:val="00EC321F"/>
    <w:rsid w:val="00EC40B0"/>
    <w:rsid w:val="00EC4311"/>
    <w:rsid w:val="00EC4AE4"/>
    <w:rsid w:val="00EC6084"/>
    <w:rsid w:val="00EC6B89"/>
    <w:rsid w:val="00EC6EE9"/>
    <w:rsid w:val="00EC7A8B"/>
    <w:rsid w:val="00ED09AF"/>
    <w:rsid w:val="00ED0F00"/>
    <w:rsid w:val="00ED0F7D"/>
    <w:rsid w:val="00ED1827"/>
    <w:rsid w:val="00ED2F19"/>
    <w:rsid w:val="00ED3B87"/>
    <w:rsid w:val="00ED4610"/>
    <w:rsid w:val="00ED4813"/>
    <w:rsid w:val="00ED4872"/>
    <w:rsid w:val="00ED5639"/>
    <w:rsid w:val="00ED58C9"/>
    <w:rsid w:val="00ED593B"/>
    <w:rsid w:val="00ED5AE6"/>
    <w:rsid w:val="00ED5D6E"/>
    <w:rsid w:val="00ED6BBF"/>
    <w:rsid w:val="00ED6DEE"/>
    <w:rsid w:val="00ED74E8"/>
    <w:rsid w:val="00ED76B6"/>
    <w:rsid w:val="00ED7C7B"/>
    <w:rsid w:val="00EE183D"/>
    <w:rsid w:val="00EE2449"/>
    <w:rsid w:val="00EE3031"/>
    <w:rsid w:val="00EE3535"/>
    <w:rsid w:val="00EE3F20"/>
    <w:rsid w:val="00EE40ED"/>
    <w:rsid w:val="00EE4574"/>
    <w:rsid w:val="00EE4763"/>
    <w:rsid w:val="00EE4ACD"/>
    <w:rsid w:val="00EE4BE6"/>
    <w:rsid w:val="00EE51CA"/>
    <w:rsid w:val="00EE5739"/>
    <w:rsid w:val="00EE6040"/>
    <w:rsid w:val="00EE62FC"/>
    <w:rsid w:val="00EE777F"/>
    <w:rsid w:val="00EF02D7"/>
    <w:rsid w:val="00EF09E9"/>
    <w:rsid w:val="00EF0D33"/>
    <w:rsid w:val="00EF14AD"/>
    <w:rsid w:val="00EF14CF"/>
    <w:rsid w:val="00EF1775"/>
    <w:rsid w:val="00EF1821"/>
    <w:rsid w:val="00EF1DF2"/>
    <w:rsid w:val="00EF2CD3"/>
    <w:rsid w:val="00EF3C73"/>
    <w:rsid w:val="00EF3E0A"/>
    <w:rsid w:val="00EF3EC4"/>
    <w:rsid w:val="00EF4B71"/>
    <w:rsid w:val="00EF4EB8"/>
    <w:rsid w:val="00EF53BD"/>
    <w:rsid w:val="00EF56A8"/>
    <w:rsid w:val="00EF76F8"/>
    <w:rsid w:val="00EF796D"/>
    <w:rsid w:val="00EF7B39"/>
    <w:rsid w:val="00F00518"/>
    <w:rsid w:val="00F0169A"/>
    <w:rsid w:val="00F01CAA"/>
    <w:rsid w:val="00F01EBB"/>
    <w:rsid w:val="00F024A0"/>
    <w:rsid w:val="00F02CD9"/>
    <w:rsid w:val="00F02EA3"/>
    <w:rsid w:val="00F030F9"/>
    <w:rsid w:val="00F040E8"/>
    <w:rsid w:val="00F046D3"/>
    <w:rsid w:val="00F04B46"/>
    <w:rsid w:val="00F05802"/>
    <w:rsid w:val="00F06279"/>
    <w:rsid w:val="00F06329"/>
    <w:rsid w:val="00F06AE7"/>
    <w:rsid w:val="00F07586"/>
    <w:rsid w:val="00F0771C"/>
    <w:rsid w:val="00F07AFC"/>
    <w:rsid w:val="00F07CAE"/>
    <w:rsid w:val="00F10789"/>
    <w:rsid w:val="00F10C2D"/>
    <w:rsid w:val="00F12A3F"/>
    <w:rsid w:val="00F12B1F"/>
    <w:rsid w:val="00F12D2C"/>
    <w:rsid w:val="00F12E24"/>
    <w:rsid w:val="00F13C58"/>
    <w:rsid w:val="00F15594"/>
    <w:rsid w:val="00F156DE"/>
    <w:rsid w:val="00F1613B"/>
    <w:rsid w:val="00F16F66"/>
    <w:rsid w:val="00F17423"/>
    <w:rsid w:val="00F17CDB"/>
    <w:rsid w:val="00F2010D"/>
    <w:rsid w:val="00F21B3F"/>
    <w:rsid w:val="00F2211E"/>
    <w:rsid w:val="00F23337"/>
    <w:rsid w:val="00F23FC1"/>
    <w:rsid w:val="00F2400A"/>
    <w:rsid w:val="00F240A7"/>
    <w:rsid w:val="00F242F3"/>
    <w:rsid w:val="00F24518"/>
    <w:rsid w:val="00F24CFB"/>
    <w:rsid w:val="00F26202"/>
    <w:rsid w:val="00F26B7B"/>
    <w:rsid w:val="00F26C6F"/>
    <w:rsid w:val="00F272ED"/>
    <w:rsid w:val="00F27BDB"/>
    <w:rsid w:val="00F300B4"/>
    <w:rsid w:val="00F30D69"/>
    <w:rsid w:val="00F31361"/>
    <w:rsid w:val="00F3153E"/>
    <w:rsid w:val="00F32993"/>
    <w:rsid w:val="00F32B65"/>
    <w:rsid w:val="00F32C1B"/>
    <w:rsid w:val="00F32F13"/>
    <w:rsid w:val="00F332BE"/>
    <w:rsid w:val="00F333E1"/>
    <w:rsid w:val="00F33535"/>
    <w:rsid w:val="00F3378A"/>
    <w:rsid w:val="00F34CB8"/>
    <w:rsid w:val="00F350B6"/>
    <w:rsid w:val="00F35CE8"/>
    <w:rsid w:val="00F36483"/>
    <w:rsid w:val="00F36637"/>
    <w:rsid w:val="00F366A6"/>
    <w:rsid w:val="00F36C66"/>
    <w:rsid w:val="00F36EC3"/>
    <w:rsid w:val="00F37975"/>
    <w:rsid w:val="00F37A29"/>
    <w:rsid w:val="00F37CC1"/>
    <w:rsid w:val="00F40664"/>
    <w:rsid w:val="00F40A21"/>
    <w:rsid w:val="00F40B8C"/>
    <w:rsid w:val="00F425C4"/>
    <w:rsid w:val="00F4297D"/>
    <w:rsid w:val="00F42AE4"/>
    <w:rsid w:val="00F435A1"/>
    <w:rsid w:val="00F43ABA"/>
    <w:rsid w:val="00F4457C"/>
    <w:rsid w:val="00F445EE"/>
    <w:rsid w:val="00F44DDA"/>
    <w:rsid w:val="00F460B5"/>
    <w:rsid w:val="00F462E7"/>
    <w:rsid w:val="00F468AA"/>
    <w:rsid w:val="00F477E8"/>
    <w:rsid w:val="00F47A2D"/>
    <w:rsid w:val="00F47BA6"/>
    <w:rsid w:val="00F50630"/>
    <w:rsid w:val="00F50652"/>
    <w:rsid w:val="00F527BC"/>
    <w:rsid w:val="00F54465"/>
    <w:rsid w:val="00F54794"/>
    <w:rsid w:val="00F54BAA"/>
    <w:rsid w:val="00F55D81"/>
    <w:rsid w:val="00F565D0"/>
    <w:rsid w:val="00F5664C"/>
    <w:rsid w:val="00F569DB"/>
    <w:rsid w:val="00F57440"/>
    <w:rsid w:val="00F57BCA"/>
    <w:rsid w:val="00F600C0"/>
    <w:rsid w:val="00F60442"/>
    <w:rsid w:val="00F604BB"/>
    <w:rsid w:val="00F6070F"/>
    <w:rsid w:val="00F61E6E"/>
    <w:rsid w:val="00F624A5"/>
    <w:rsid w:val="00F624CD"/>
    <w:rsid w:val="00F625D3"/>
    <w:rsid w:val="00F629AF"/>
    <w:rsid w:val="00F638E2"/>
    <w:rsid w:val="00F6413E"/>
    <w:rsid w:val="00F647C7"/>
    <w:rsid w:val="00F64B37"/>
    <w:rsid w:val="00F64E25"/>
    <w:rsid w:val="00F64EA5"/>
    <w:rsid w:val="00F6521B"/>
    <w:rsid w:val="00F65483"/>
    <w:rsid w:val="00F65B52"/>
    <w:rsid w:val="00F66B3A"/>
    <w:rsid w:val="00F66F4C"/>
    <w:rsid w:val="00F6774F"/>
    <w:rsid w:val="00F67C00"/>
    <w:rsid w:val="00F704F6"/>
    <w:rsid w:val="00F70683"/>
    <w:rsid w:val="00F70739"/>
    <w:rsid w:val="00F70D72"/>
    <w:rsid w:val="00F71742"/>
    <w:rsid w:val="00F71C75"/>
    <w:rsid w:val="00F71CDC"/>
    <w:rsid w:val="00F726B2"/>
    <w:rsid w:val="00F7281E"/>
    <w:rsid w:val="00F72E0F"/>
    <w:rsid w:val="00F7350E"/>
    <w:rsid w:val="00F74108"/>
    <w:rsid w:val="00F744F6"/>
    <w:rsid w:val="00F74519"/>
    <w:rsid w:val="00F755E0"/>
    <w:rsid w:val="00F76305"/>
    <w:rsid w:val="00F76A35"/>
    <w:rsid w:val="00F77927"/>
    <w:rsid w:val="00F809D6"/>
    <w:rsid w:val="00F82D16"/>
    <w:rsid w:val="00F83B9A"/>
    <w:rsid w:val="00F8469B"/>
    <w:rsid w:val="00F84743"/>
    <w:rsid w:val="00F84AD8"/>
    <w:rsid w:val="00F84B5B"/>
    <w:rsid w:val="00F85006"/>
    <w:rsid w:val="00F852E7"/>
    <w:rsid w:val="00F85BF8"/>
    <w:rsid w:val="00F85DD0"/>
    <w:rsid w:val="00F85F28"/>
    <w:rsid w:val="00F86D39"/>
    <w:rsid w:val="00F877DB"/>
    <w:rsid w:val="00F87968"/>
    <w:rsid w:val="00F91400"/>
    <w:rsid w:val="00F91880"/>
    <w:rsid w:val="00F91A55"/>
    <w:rsid w:val="00F91DB8"/>
    <w:rsid w:val="00F9214C"/>
    <w:rsid w:val="00F92172"/>
    <w:rsid w:val="00F9293B"/>
    <w:rsid w:val="00F92B77"/>
    <w:rsid w:val="00F92FE5"/>
    <w:rsid w:val="00F93D62"/>
    <w:rsid w:val="00F9426A"/>
    <w:rsid w:val="00F95217"/>
    <w:rsid w:val="00F967E6"/>
    <w:rsid w:val="00F967EA"/>
    <w:rsid w:val="00F96B58"/>
    <w:rsid w:val="00F97D95"/>
    <w:rsid w:val="00FA03F6"/>
    <w:rsid w:val="00FA0E67"/>
    <w:rsid w:val="00FA0EC9"/>
    <w:rsid w:val="00FA20C8"/>
    <w:rsid w:val="00FA2500"/>
    <w:rsid w:val="00FA2CE1"/>
    <w:rsid w:val="00FA43CC"/>
    <w:rsid w:val="00FA45AE"/>
    <w:rsid w:val="00FA52A4"/>
    <w:rsid w:val="00FA52C2"/>
    <w:rsid w:val="00FA6AB6"/>
    <w:rsid w:val="00FA7652"/>
    <w:rsid w:val="00FA7767"/>
    <w:rsid w:val="00FB08E4"/>
    <w:rsid w:val="00FB112C"/>
    <w:rsid w:val="00FB2038"/>
    <w:rsid w:val="00FB259A"/>
    <w:rsid w:val="00FB26B1"/>
    <w:rsid w:val="00FB3572"/>
    <w:rsid w:val="00FB3B91"/>
    <w:rsid w:val="00FB3BA1"/>
    <w:rsid w:val="00FB4154"/>
    <w:rsid w:val="00FB4959"/>
    <w:rsid w:val="00FB5941"/>
    <w:rsid w:val="00FB59E6"/>
    <w:rsid w:val="00FB72CA"/>
    <w:rsid w:val="00FB7ECB"/>
    <w:rsid w:val="00FC0F60"/>
    <w:rsid w:val="00FC1060"/>
    <w:rsid w:val="00FC1480"/>
    <w:rsid w:val="00FC15FE"/>
    <w:rsid w:val="00FC16D5"/>
    <w:rsid w:val="00FC17AA"/>
    <w:rsid w:val="00FC1CAD"/>
    <w:rsid w:val="00FC1FD9"/>
    <w:rsid w:val="00FC2AC2"/>
    <w:rsid w:val="00FC2BC9"/>
    <w:rsid w:val="00FC2EB5"/>
    <w:rsid w:val="00FC324C"/>
    <w:rsid w:val="00FC3EBF"/>
    <w:rsid w:val="00FC4187"/>
    <w:rsid w:val="00FC4215"/>
    <w:rsid w:val="00FC4325"/>
    <w:rsid w:val="00FC49E7"/>
    <w:rsid w:val="00FC4E92"/>
    <w:rsid w:val="00FD0B7D"/>
    <w:rsid w:val="00FD1D08"/>
    <w:rsid w:val="00FD1E0C"/>
    <w:rsid w:val="00FD2193"/>
    <w:rsid w:val="00FD32E0"/>
    <w:rsid w:val="00FD387A"/>
    <w:rsid w:val="00FD39DB"/>
    <w:rsid w:val="00FD47CD"/>
    <w:rsid w:val="00FD4CE3"/>
    <w:rsid w:val="00FD5109"/>
    <w:rsid w:val="00FD511E"/>
    <w:rsid w:val="00FD5B52"/>
    <w:rsid w:val="00FD7AB8"/>
    <w:rsid w:val="00FE15DF"/>
    <w:rsid w:val="00FE1C54"/>
    <w:rsid w:val="00FE2E2A"/>
    <w:rsid w:val="00FE3325"/>
    <w:rsid w:val="00FE35D1"/>
    <w:rsid w:val="00FE39D0"/>
    <w:rsid w:val="00FE3C0C"/>
    <w:rsid w:val="00FE46C4"/>
    <w:rsid w:val="00FE4AC4"/>
    <w:rsid w:val="00FE4CCF"/>
    <w:rsid w:val="00FE58F1"/>
    <w:rsid w:val="00FE6554"/>
    <w:rsid w:val="00FE6C6E"/>
    <w:rsid w:val="00FE76FD"/>
    <w:rsid w:val="00FE7D54"/>
    <w:rsid w:val="00FF02C1"/>
    <w:rsid w:val="00FF039C"/>
    <w:rsid w:val="00FF0746"/>
    <w:rsid w:val="00FF0C49"/>
    <w:rsid w:val="00FF103B"/>
    <w:rsid w:val="00FF2596"/>
    <w:rsid w:val="00FF27BB"/>
    <w:rsid w:val="00FF2C8D"/>
    <w:rsid w:val="00FF3CE7"/>
    <w:rsid w:val="00FF41F2"/>
    <w:rsid w:val="00FF4447"/>
    <w:rsid w:val="00FF51DC"/>
    <w:rsid w:val="00FF58AC"/>
    <w:rsid w:val="00FF66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8614C"/>
  <w15:chartTrackingRefBased/>
  <w15:docId w15:val="{19EFA0F2-B983-46B6-BC84-5EC341B35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3C2"/>
    <w:pPr>
      <w:spacing w:after="160" w:line="278" w:lineRule="auto"/>
    </w:pPr>
    <w:rPr>
      <w:rFonts w:ascii="Arial" w:hAnsi="Arial"/>
      <w:kern w:val="2"/>
      <w:sz w:val="24"/>
      <w:szCs w:val="24"/>
    </w:rPr>
  </w:style>
  <w:style w:type="paragraph" w:styleId="Heading1">
    <w:name w:val="heading 1"/>
    <w:basedOn w:val="Normal"/>
    <w:next w:val="Normal"/>
    <w:link w:val="Heading1Char"/>
    <w:uiPriority w:val="9"/>
    <w:qFormat/>
    <w:rsid w:val="00761B02"/>
    <w:pPr>
      <w:keepNext/>
      <w:keepLines/>
      <w:spacing w:after="200" w:line="360" w:lineRule="auto"/>
      <w:jc w:val="center"/>
      <w:outlineLvl w:val="0"/>
    </w:pPr>
    <w:rPr>
      <w:rFonts w:eastAsia="Times New Roman" w:cs="Arial"/>
      <w:b/>
      <w:bCs/>
      <w:color w:val="000000"/>
      <w:sz w:val="36"/>
      <w:szCs w:val="36"/>
    </w:rPr>
  </w:style>
  <w:style w:type="paragraph" w:styleId="Heading2">
    <w:name w:val="heading 2"/>
    <w:basedOn w:val="Heading1"/>
    <w:next w:val="Normal"/>
    <w:link w:val="Heading2Char"/>
    <w:uiPriority w:val="9"/>
    <w:unhideWhenUsed/>
    <w:qFormat/>
    <w:rsid w:val="00930963"/>
    <w:pPr>
      <w:spacing w:after="0"/>
      <w:jc w:val="left"/>
      <w:outlineLvl w:val="1"/>
    </w:pPr>
    <w:rPr>
      <w:sz w:val="28"/>
    </w:rPr>
  </w:style>
  <w:style w:type="paragraph" w:styleId="Heading3">
    <w:name w:val="heading 3"/>
    <w:basedOn w:val="Heading2"/>
    <w:next w:val="Normal"/>
    <w:link w:val="Heading3Char"/>
    <w:uiPriority w:val="9"/>
    <w:unhideWhenUsed/>
    <w:qFormat/>
    <w:rsid w:val="00F34CB8"/>
    <w:pPr>
      <w:outlineLvl w:val="2"/>
    </w:pPr>
    <w:rPr>
      <w:szCs w:val="28"/>
    </w:rPr>
  </w:style>
  <w:style w:type="paragraph" w:styleId="Heading4">
    <w:name w:val="heading 4"/>
    <w:aliases w:val="NCD.Heading 4"/>
    <w:basedOn w:val="NCDBodyText"/>
    <w:next w:val="Normal"/>
    <w:link w:val="Heading4Char"/>
    <w:uiPriority w:val="9"/>
    <w:unhideWhenUsed/>
    <w:qFormat/>
    <w:rsid w:val="00096BD3"/>
    <w:pPr>
      <w:suppressAutoHyphens/>
      <w:outlineLvl w:val="3"/>
    </w:pPr>
    <w:rPr>
      <w:rFonts w:cs="Arial"/>
      <w:b/>
      <w:bCs/>
      <w:color w:val="auto"/>
    </w:rPr>
  </w:style>
  <w:style w:type="paragraph" w:styleId="Heading5">
    <w:name w:val="heading 5"/>
    <w:basedOn w:val="Normal"/>
    <w:next w:val="Normal"/>
    <w:link w:val="Heading5Char"/>
    <w:uiPriority w:val="9"/>
    <w:unhideWhenUsed/>
    <w:qFormat/>
    <w:rsid w:val="00F350B6"/>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unhideWhenUsed/>
    <w:qFormat/>
    <w:rsid w:val="00F350B6"/>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unhideWhenUsed/>
    <w:qFormat/>
    <w:rsid w:val="00F350B6"/>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F350B6"/>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F350B6"/>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61B02"/>
    <w:rPr>
      <w:rFonts w:ascii="Arial" w:eastAsia="Times New Roman" w:hAnsi="Arial" w:cs="Arial"/>
      <w:b/>
      <w:bCs/>
      <w:color w:val="000000"/>
      <w:kern w:val="2"/>
      <w:sz w:val="36"/>
      <w:szCs w:val="36"/>
    </w:rPr>
  </w:style>
  <w:style w:type="character" w:customStyle="1" w:styleId="Heading2Char">
    <w:name w:val="Heading 2 Char"/>
    <w:link w:val="Heading2"/>
    <w:uiPriority w:val="9"/>
    <w:rsid w:val="00930963"/>
    <w:rPr>
      <w:rFonts w:ascii="Arial" w:eastAsia="Times New Roman" w:hAnsi="Arial" w:cs="Arial"/>
      <w:b/>
      <w:bCs/>
      <w:color w:val="000000"/>
      <w:kern w:val="2"/>
      <w:sz w:val="28"/>
      <w:szCs w:val="36"/>
    </w:rPr>
  </w:style>
  <w:style w:type="character" w:customStyle="1" w:styleId="Heading3Char">
    <w:name w:val="Heading 3 Char"/>
    <w:link w:val="Heading3"/>
    <w:uiPriority w:val="9"/>
    <w:rsid w:val="00F34CB8"/>
    <w:rPr>
      <w:rFonts w:ascii="Arial" w:eastAsia="Times New Roman" w:hAnsi="Arial" w:cs="Arial"/>
      <w:b/>
      <w:bCs/>
      <w:color w:val="000000"/>
      <w:sz w:val="28"/>
      <w:szCs w:val="28"/>
    </w:rPr>
  </w:style>
  <w:style w:type="character" w:customStyle="1" w:styleId="Heading4Char">
    <w:name w:val="Heading 4 Char"/>
    <w:aliases w:val="NCD.Heading 4 Char"/>
    <w:link w:val="Heading4"/>
    <w:uiPriority w:val="9"/>
    <w:rsid w:val="00096BD3"/>
    <w:rPr>
      <w:rFonts w:ascii="Arial" w:eastAsia="Calibri" w:hAnsi="Arial" w:cs="Arial"/>
      <w:b/>
      <w:bCs/>
      <w:sz w:val="24"/>
      <w:szCs w:val="24"/>
      <w:u w:color="000000"/>
      <w:bdr w:val="nil"/>
    </w:rPr>
  </w:style>
  <w:style w:type="character" w:customStyle="1" w:styleId="Heading5Char">
    <w:name w:val="Heading 5 Char"/>
    <w:link w:val="Heading5"/>
    <w:uiPriority w:val="9"/>
    <w:rsid w:val="00F350B6"/>
    <w:rPr>
      <w:rFonts w:eastAsia="Times New Roman" w:cs="Times New Roman"/>
      <w:color w:val="0F4761"/>
    </w:rPr>
  </w:style>
  <w:style w:type="character" w:customStyle="1" w:styleId="Heading6Char">
    <w:name w:val="Heading 6 Char"/>
    <w:link w:val="Heading6"/>
    <w:uiPriority w:val="9"/>
    <w:rsid w:val="00F350B6"/>
    <w:rPr>
      <w:rFonts w:eastAsia="Times New Roman" w:cs="Times New Roman"/>
      <w:i/>
      <w:iCs/>
      <w:color w:val="595959"/>
    </w:rPr>
  </w:style>
  <w:style w:type="character" w:customStyle="1" w:styleId="Heading7Char">
    <w:name w:val="Heading 7 Char"/>
    <w:link w:val="Heading7"/>
    <w:uiPriority w:val="9"/>
    <w:rsid w:val="00F350B6"/>
    <w:rPr>
      <w:rFonts w:eastAsia="Times New Roman" w:cs="Times New Roman"/>
      <w:color w:val="595959"/>
    </w:rPr>
  </w:style>
  <w:style w:type="character" w:customStyle="1" w:styleId="Heading8Char">
    <w:name w:val="Heading 8 Char"/>
    <w:link w:val="Heading8"/>
    <w:uiPriority w:val="9"/>
    <w:semiHidden/>
    <w:rsid w:val="00F350B6"/>
    <w:rPr>
      <w:rFonts w:eastAsia="Times New Roman" w:cs="Times New Roman"/>
      <w:i/>
      <w:iCs/>
      <w:color w:val="272727"/>
    </w:rPr>
  </w:style>
  <w:style w:type="character" w:customStyle="1" w:styleId="Heading9Char">
    <w:name w:val="Heading 9 Char"/>
    <w:link w:val="Heading9"/>
    <w:uiPriority w:val="9"/>
    <w:semiHidden/>
    <w:rsid w:val="00F350B6"/>
    <w:rPr>
      <w:rFonts w:eastAsia="Times New Roman" w:cs="Times New Roman"/>
      <w:color w:val="272727"/>
    </w:rPr>
  </w:style>
  <w:style w:type="paragraph" w:styleId="Title">
    <w:name w:val="Title"/>
    <w:basedOn w:val="Normal"/>
    <w:next w:val="Normal"/>
    <w:link w:val="TitleChar"/>
    <w:qFormat/>
    <w:rsid w:val="00F350B6"/>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rsid w:val="00F350B6"/>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F350B6"/>
    <w:pPr>
      <w:numPr>
        <w:ilvl w:val="1"/>
      </w:numPr>
    </w:pPr>
    <w:rPr>
      <w:rFonts w:eastAsia="Times New Roman"/>
      <w:color w:val="595959"/>
      <w:spacing w:val="15"/>
      <w:sz w:val="28"/>
      <w:szCs w:val="28"/>
    </w:rPr>
  </w:style>
  <w:style w:type="character" w:customStyle="1" w:styleId="SubtitleChar">
    <w:name w:val="Subtitle Char"/>
    <w:link w:val="Subtitle"/>
    <w:uiPriority w:val="11"/>
    <w:rsid w:val="00F350B6"/>
    <w:rPr>
      <w:rFonts w:eastAsia="Times New Roman" w:cs="Times New Roman"/>
      <w:color w:val="595959"/>
      <w:spacing w:val="15"/>
      <w:sz w:val="28"/>
      <w:szCs w:val="28"/>
    </w:rPr>
  </w:style>
  <w:style w:type="paragraph" w:styleId="Quote">
    <w:name w:val="Quote"/>
    <w:basedOn w:val="Normal"/>
    <w:next w:val="Normal"/>
    <w:link w:val="QuoteChar"/>
    <w:uiPriority w:val="29"/>
    <w:qFormat/>
    <w:rsid w:val="00F350B6"/>
    <w:pPr>
      <w:spacing w:before="160"/>
      <w:jc w:val="center"/>
    </w:pPr>
    <w:rPr>
      <w:i/>
      <w:iCs/>
      <w:color w:val="404040"/>
    </w:rPr>
  </w:style>
  <w:style w:type="character" w:customStyle="1" w:styleId="QuoteChar">
    <w:name w:val="Quote Char"/>
    <w:link w:val="Quote"/>
    <w:uiPriority w:val="29"/>
    <w:rsid w:val="00F350B6"/>
    <w:rPr>
      <w:i/>
      <w:iCs/>
      <w:color w:val="404040"/>
    </w:rPr>
  </w:style>
  <w:style w:type="paragraph" w:styleId="ListParagraph">
    <w:name w:val="List Paragraph"/>
    <w:basedOn w:val="Normal"/>
    <w:uiPriority w:val="34"/>
    <w:qFormat/>
    <w:rsid w:val="00F350B6"/>
    <w:pPr>
      <w:ind w:left="720"/>
      <w:contextualSpacing/>
    </w:pPr>
  </w:style>
  <w:style w:type="character" w:styleId="IntenseEmphasis">
    <w:name w:val="Intense Emphasis"/>
    <w:uiPriority w:val="21"/>
    <w:qFormat/>
    <w:rsid w:val="00F350B6"/>
    <w:rPr>
      <w:i/>
      <w:iCs/>
      <w:color w:val="0F4761"/>
    </w:rPr>
  </w:style>
  <w:style w:type="paragraph" w:styleId="IntenseQuote">
    <w:name w:val="Intense Quote"/>
    <w:basedOn w:val="Normal"/>
    <w:next w:val="Normal"/>
    <w:link w:val="IntenseQuoteChar"/>
    <w:uiPriority w:val="30"/>
    <w:qFormat/>
    <w:rsid w:val="00F350B6"/>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350B6"/>
    <w:rPr>
      <w:i/>
      <w:iCs/>
      <w:color w:val="0F4761"/>
    </w:rPr>
  </w:style>
  <w:style w:type="character" w:styleId="IntenseReference">
    <w:name w:val="Intense Reference"/>
    <w:uiPriority w:val="32"/>
    <w:qFormat/>
    <w:rsid w:val="00F350B6"/>
    <w:rPr>
      <w:b/>
      <w:bCs/>
      <w:smallCaps/>
      <w:color w:val="0F4761"/>
      <w:spacing w:val="5"/>
    </w:rPr>
  </w:style>
  <w:style w:type="character" w:styleId="Hyperlink">
    <w:name w:val="Hyperlink"/>
    <w:uiPriority w:val="99"/>
    <w:unhideWhenUsed/>
    <w:qFormat/>
    <w:rsid w:val="00F350B6"/>
    <w:rPr>
      <w:color w:val="467886"/>
      <w:u w:val="single"/>
    </w:rPr>
  </w:style>
  <w:style w:type="character" w:styleId="UnresolvedMention">
    <w:name w:val="Unresolved Mention"/>
    <w:uiPriority w:val="99"/>
    <w:semiHidden/>
    <w:unhideWhenUsed/>
    <w:rsid w:val="00F350B6"/>
    <w:rPr>
      <w:color w:val="605E5C"/>
      <w:shd w:val="clear" w:color="auto" w:fill="E1DFDD"/>
    </w:rPr>
  </w:style>
  <w:style w:type="paragraph" w:styleId="NormalWeb">
    <w:name w:val="Normal (Web)"/>
    <w:basedOn w:val="Normal"/>
    <w:uiPriority w:val="99"/>
    <w:semiHidden/>
    <w:unhideWhenUsed/>
    <w:rsid w:val="00F350B6"/>
    <w:rPr>
      <w:rFonts w:ascii="Times New Roman" w:hAnsi="Times New Roman"/>
    </w:rPr>
  </w:style>
  <w:style w:type="character" w:styleId="FollowedHyperlink">
    <w:name w:val="FollowedHyperlink"/>
    <w:uiPriority w:val="99"/>
    <w:semiHidden/>
    <w:unhideWhenUsed/>
    <w:rsid w:val="008C56AB"/>
    <w:rPr>
      <w:color w:val="96607D"/>
      <w:u w:val="single"/>
    </w:rPr>
  </w:style>
  <w:style w:type="paragraph" w:styleId="Header">
    <w:name w:val="header"/>
    <w:basedOn w:val="Normal"/>
    <w:link w:val="HeaderChar"/>
    <w:uiPriority w:val="99"/>
    <w:unhideWhenUsed/>
    <w:qFormat/>
    <w:rsid w:val="00ED6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DEE"/>
  </w:style>
  <w:style w:type="paragraph" w:styleId="Footer">
    <w:name w:val="footer"/>
    <w:basedOn w:val="Normal"/>
    <w:link w:val="FooterChar"/>
    <w:uiPriority w:val="99"/>
    <w:unhideWhenUsed/>
    <w:qFormat/>
    <w:rsid w:val="00ED6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DEE"/>
  </w:style>
  <w:style w:type="paragraph" w:customStyle="1" w:styleId="NCDBodyText">
    <w:name w:val="NCD.Body Text"/>
    <w:uiPriority w:val="99"/>
    <w:rsid w:val="002362F0"/>
    <w:pPr>
      <w:pBdr>
        <w:top w:val="nil"/>
        <w:left w:val="nil"/>
        <w:bottom w:val="nil"/>
        <w:right w:val="nil"/>
        <w:between w:val="nil"/>
        <w:bar w:val="nil"/>
      </w:pBdr>
      <w:spacing w:after="200" w:line="360" w:lineRule="auto"/>
    </w:pPr>
    <w:rPr>
      <w:rFonts w:ascii="Arial" w:eastAsia="Calibri" w:hAnsi="Arial" w:cs="Calibri"/>
      <w:color w:val="000000"/>
      <w:sz w:val="24"/>
      <w:szCs w:val="24"/>
      <w:u w:color="000000"/>
      <w:bdr w:val="nil"/>
    </w:rPr>
  </w:style>
  <w:style w:type="paragraph" w:customStyle="1" w:styleId="NCDBulletsLevel1">
    <w:name w:val="NCD.Bullets Level 1"/>
    <w:qFormat/>
    <w:rsid w:val="00930963"/>
    <w:pPr>
      <w:numPr>
        <w:numId w:val="1"/>
      </w:numPr>
      <w:spacing w:after="200" w:line="360" w:lineRule="auto"/>
    </w:pPr>
    <w:rPr>
      <w:rFonts w:ascii="Arial" w:eastAsia="Calibri" w:hAnsi="Arial" w:cs="Arial"/>
      <w:sz w:val="24"/>
      <w:szCs w:val="24"/>
    </w:rPr>
  </w:style>
  <w:style w:type="table" w:styleId="TableGrid">
    <w:name w:val="Table Grid"/>
    <w:basedOn w:val="TableNormal"/>
    <w:uiPriority w:val="59"/>
    <w:rsid w:val="00B53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A327D"/>
    <w:rPr>
      <w:kern w:val="2"/>
      <w:sz w:val="24"/>
      <w:szCs w:val="24"/>
    </w:rPr>
  </w:style>
  <w:style w:type="character" w:styleId="CommentReference">
    <w:name w:val="annotation reference"/>
    <w:uiPriority w:val="99"/>
    <w:unhideWhenUsed/>
    <w:rsid w:val="00112EB2"/>
    <w:rPr>
      <w:sz w:val="16"/>
      <w:szCs w:val="16"/>
    </w:rPr>
  </w:style>
  <w:style w:type="paragraph" w:styleId="CommentText">
    <w:name w:val="annotation text"/>
    <w:basedOn w:val="Normal"/>
    <w:link w:val="CommentTextChar"/>
    <w:uiPriority w:val="99"/>
    <w:unhideWhenUsed/>
    <w:rsid w:val="00112EB2"/>
    <w:pPr>
      <w:spacing w:line="240" w:lineRule="auto"/>
    </w:pPr>
    <w:rPr>
      <w:sz w:val="20"/>
      <w:szCs w:val="20"/>
    </w:rPr>
  </w:style>
  <w:style w:type="character" w:customStyle="1" w:styleId="CommentTextChar">
    <w:name w:val="Comment Text Char"/>
    <w:link w:val="CommentText"/>
    <w:uiPriority w:val="99"/>
    <w:rsid w:val="00112EB2"/>
    <w:rPr>
      <w:sz w:val="20"/>
      <w:szCs w:val="20"/>
    </w:rPr>
  </w:style>
  <w:style w:type="paragraph" w:styleId="CommentSubject">
    <w:name w:val="annotation subject"/>
    <w:basedOn w:val="CommentText"/>
    <w:next w:val="CommentText"/>
    <w:link w:val="CommentSubjectChar"/>
    <w:uiPriority w:val="99"/>
    <w:semiHidden/>
    <w:unhideWhenUsed/>
    <w:rsid w:val="00112EB2"/>
    <w:rPr>
      <w:b/>
      <w:bCs/>
    </w:rPr>
  </w:style>
  <w:style w:type="character" w:customStyle="1" w:styleId="CommentSubjectChar">
    <w:name w:val="Comment Subject Char"/>
    <w:link w:val="CommentSubject"/>
    <w:uiPriority w:val="99"/>
    <w:semiHidden/>
    <w:rsid w:val="00112EB2"/>
    <w:rPr>
      <w:b/>
      <w:bCs/>
      <w:sz w:val="20"/>
      <w:szCs w:val="20"/>
    </w:rPr>
  </w:style>
  <w:style w:type="paragraph" w:styleId="EndnoteText">
    <w:name w:val="endnote text"/>
    <w:basedOn w:val="Normal"/>
    <w:link w:val="EndnoteTextChar"/>
    <w:uiPriority w:val="99"/>
    <w:unhideWhenUsed/>
    <w:rsid w:val="001903FF"/>
    <w:pPr>
      <w:spacing w:after="0" w:line="240" w:lineRule="auto"/>
    </w:pPr>
    <w:rPr>
      <w:sz w:val="20"/>
      <w:szCs w:val="20"/>
    </w:rPr>
  </w:style>
  <w:style w:type="character" w:customStyle="1" w:styleId="EndnoteTextChar">
    <w:name w:val="Endnote Text Char"/>
    <w:link w:val="EndnoteText"/>
    <w:uiPriority w:val="99"/>
    <w:rsid w:val="001903FF"/>
    <w:rPr>
      <w:sz w:val="20"/>
      <w:szCs w:val="20"/>
    </w:rPr>
  </w:style>
  <w:style w:type="character" w:styleId="EndnoteReference">
    <w:name w:val="endnote reference"/>
    <w:uiPriority w:val="99"/>
    <w:semiHidden/>
    <w:unhideWhenUsed/>
    <w:rsid w:val="001903FF"/>
    <w:rPr>
      <w:vertAlign w:val="superscript"/>
    </w:rPr>
  </w:style>
  <w:style w:type="paragraph" w:styleId="FootnoteText">
    <w:name w:val="footnote text"/>
    <w:aliases w:val=" Char,Char,Char18,F1,FT,Footnote Text - NEW,Footnote Text AG,Footnote Text Char Char,Footnote Text Char Char Char Char,Footnote Text Char1 Char Char,Footnote ak,Footnotes,SD Footnote Text,Style 14,Tablenote Text,Text,fn,fn - no spac,fnt,ft"/>
    <w:basedOn w:val="Normal"/>
    <w:link w:val="FootnoteTextChar"/>
    <w:uiPriority w:val="99"/>
    <w:unhideWhenUsed/>
    <w:qFormat/>
    <w:rsid w:val="007E0372"/>
    <w:pPr>
      <w:spacing w:after="0" w:line="240" w:lineRule="auto"/>
    </w:pPr>
    <w:rPr>
      <w:sz w:val="20"/>
      <w:szCs w:val="20"/>
    </w:rPr>
  </w:style>
  <w:style w:type="character" w:customStyle="1" w:styleId="FootnoteTextChar">
    <w:name w:val="Footnote Text Char"/>
    <w:aliases w:val=" Char Char,Char Char,Char18 Char,F1 Char,FT Char,Footnote Text - NEW Char,Footnote Text AG Char,Footnote Text Char Char Char,Footnote Text Char Char Char Char Char,Footnote Text Char1 Char Char Char,Footnote ak Char,Footnotes Char"/>
    <w:link w:val="FootnoteText"/>
    <w:uiPriority w:val="99"/>
    <w:rsid w:val="007E0372"/>
    <w:rPr>
      <w:rFonts w:ascii="Arial" w:hAnsi="Arial"/>
      <w:sz w:val="20"/>
      <w:szCs w:val="20"/>
    </w:rPr>
  </w:style>
  <w:style w:type="character" w:styleId="FootnoteReference">
    <w:name w:val="footnote reference"/>
    <w:aliases w:val="BVI fnr,EN Footnote Reference,FC,FR,Footnote Reference Superscript,Footnote Reference/,Footnote reference number,Footnote symbol,Footnotes refss,Odwołanie przypisu,Rimando nota a piè di pagina1,SUPERS,Sty,fr,number,richiamo note eggsi"/>
    <w:uiPriority w:val="99"/>
    <w:unhideWhenUsed/>
    <w:qFormat/>
    <w:rsid w:val="007E0372"/>
    <w:rPr>
      <w:vertAlign w:val="superscript"/>
    </w:rPr>
  </w:style>
  <w:style w:type="paragraph" w:styleId="TOCHeading">
    <w:name w:val="TOC Heading"/>
    <w:basedOn w:val="Heading1"/>
    <w:next w:val="Normal"/>
    <w:uiPriority w:val="39"/>
    <w:unhideWhenUsed/>
    <w:qFormat/>
    <w:rsid w:val="00A81BCA"/>
    <w:pPr>
      <w:spacing w:before="240" w:after="0" w:line="259" w:lineRule="auto"/>
      <w:outlineLvl w:val="9"/>
    </w:pPr>
    <w:rPr>
      <w:rFonts w:ascii="Aptos Display" w:hAnsi="Aptos Display" w:cs="Times New Roman"/>
      <w:b w:val="0"/>
      <w:bCs w:val="0"/>
      <w:color w:val="0F4761"/>
      <w:kern w:val="0"/>
      <w:sz w:val="32"/>
      <w:szCs w:val="32"/>
    </w:rPr>
  </w:style>
  <w:style w:type="paragraph" w:styleId="TOC1">
    <w:name w:val="toc 1"/>
    <w:basedOn w:val="Normal"/>
    <w:next w:val="Normal"/>
    <w:autoRedefine/>
    <w:uiPriority w:val="39"/>
    <w:unhideWhenUsed/>
    <w:qFormat/>
    <w:rsid w:val="00A81BCA"/>
    <w:pPr>
      <w:spacing w:after="100"/>
    </w:pPr>
  </w:style>
  <w:style w:type="paragraph" w:styleId="TOC2">
    <w:name w:val="toc 2"/>
    <w:basedOn w:val="Normal"/>
    <w:next w:val="Normal"/>
    <w:autoRedefine/>
    <w:uiPriority w:val="39"/>
    <w:unhideWhenUsed/>
    <w:qFormat/>
    <w:rsid w:val="000116CE"/>
    <w:pPr>
      <w:tabs>
        <w:tab w:val="right" w:leader="dot" w:pos="9350"/>
      </w:tabs>
      <w:spacing w:after="100"/>
      <w:ind w:left="240"/>
    </w:pPr>
    <w:rPr>
      <w:noProof/>
    </w:rPr>
  </w:style>
  <w:style w:type="paragraph" w:styleId="TOC3">
    <w:name w:val="toc 3"/>
    <w:basedOn w:val="Normal"/>
    <w:next w:val="Normal"/>
    <w:autoRedefine/>
    <w:uiPriority w:val="39"/>
    <w:unhideWhenUsed/>
    <w:qFormat/>
    <w:rsid w:val="00A81BCA"/>
    <w:pPr>
      <w:spacing w:after="100"/>
      <w:ind w:left="480"/>
    </w:pPr>
  </w:style>
  <w:style w:type="paragraph" w:styleId="TOC4">
    <w:name w:val="toc 4"/>
    <w:basedOn w:val="Normal"/>
    <w:next w:val="Normal"/>
    <w:autoRedefine/>
    <w:uiPriority w:val="39"/>
    <w:unhideWhenUsed/>
    <w:rsid w:val="001017BA"/>
    <w:pPr>
      <w:spacing w:after="100"/>
      <w:ind w:left="720"/>
    </w:pPr>
  </w:style>
  <w:style w:type="paragraph" w:styleId="Revision">
    <w:name w:val="Revision"/>
    <w:hidden/>
    <w:uiPriority w:val="99"/>
    <w:semiHidden/>
    <w:rsid w:val="006A7CC0"/>
    <w:rPr>
      <w:rFonts w:ascii="Arial" w:hAnsi="Arial"/>
      <w:kern w:val="2"/>
      <w:sz w:val="24"/>
      <w:szCs w:val="24"/>
    </w:rPr>
  </w:style>
  <w:style w:type="paragraph" w:styleId="List">
    <w:name w:val="List"/>
    <w:basedOn w:val="Normal"/>
    <w:uiPriority w:val="99"/>
    <w:unhideWhenUsed/>
    <w:rsid w:val="003E6EF2"/>
    <w:pPr>
      <w:ind w:left="360" w:hanging="360"/>
      <w:contextualSpacing/>
    </w:pPr>
  </w:style>
  <w:style w:type="paragraph" w:customStyle="1" w:styleId="NCDBulletsLevel2">
    <w:name w:val="NCD.Bullets Level 2"/>
    <w:basedOn w:val="Normal"/>
    <w:qFormat/>
    <w:rsid w:val="003E6EF2"/>
    <w:pPr>
      <w:numPr>
        <w:ilvl w:val="1"/>
        <w:numId w:val="2"/>
      </w:numPr>
      <w:spacing w:after="200" w:line="360" w:lineRule="auto"/>
    </w:pPr>
  </w:style>
  <w:style w:type="paragraph" w:customStyle="1" w:styleId="Default">
    <w:name w:val="Default"/>
    <w:rsid w:val="003F3A98"/>
    <w:pPr>
      <w:autoSpaceDE w:val="0"/>
      <w:autoSpaceDN w:val="0"/>
      <w:adjustRightInd w:val="0"/>
    </w:pPr>
    <w:rPr>
      <w:rFonts w:ascii="Univers LT Std 45 Light" w:eastAsiaTheme="minorHAnsi" w:hAnsi="Univers LT Std 45 Light" w:cs="Univers LT Std 45 Light"/>
      <w:color w:val="000000"/>
      <w:sz w:val="24"/>
      <w:szCs w:val="24"/>
    </w:rPr>
  </w:style>
  <w:style w:type="paragraph" w:styleId="BalloonText">
    <w:name w:val="Balloon Text"/>
    <w:basedOn w:val="Normal"/>
    <w:link w:val="BalloonTextChar"/>
    <w:uiPriority w:val="99"/>
    <w:semiHidden/>
    <w:unhideWhenUsed/>
    <w:rsid w:val="001B5A3A"/>
    <w:pPr>
      <w:spacing w:after="0" w:line="240" w:lineRule="auto"/>
    </w:pPr>
    <w:rPr>
      <w:rFonts w:ascii="Tahoma" w:eastAsia="Calibri" w:hAnsi="Tahoma" w:cs="Tahoma"/>
      <w:kern w:val="0"/>
      <w:sz w:val="16"/>
      <w:szCs w:val="16"/>
    </w:rPr>
  </w:style>
  <w:style w:type="character" w:customStyle="1" w:styleId="BalloonTextChar">
    <w:name w:val="Balloon Text Char"/>
    <w:basedOn w:val="DefaultParagraphFont"/>
    <w:link w:val="BalloonText"/>
    <w:uiPriority w:val="99"/>
    <w:semiHidden/>
    <w:rsid w:val="001B5A3A"/>
    <w:rPr>
      <w:rFonts w:ascii="Tahoma" w:eastAsia="Calibri" w:hAnsi="Tahoma" w:cs="Tahoma"/>
      <w:sz w:val="16"/>
      <w:szCs w:val="16"/>
    </w:rPr>
  </w:style>
  <w:style w:type="paragraph" w:customStyle="1" w:styleId="TableNote">
    <w:name w:val="Table Note"/>
    <w:qFormat/>
    <w:rsid w:val="001B5A3A"/>
    <w:pPr>
      <w:spacing w:before="60" w:after="240"/>
      <w:contextualSpacing/>
    </w:pPr>
    <w:rPr>
      <w:rFonts w:ascii="Arial" w:eastAsia="Times New Roman" w:hAnsi="Arial"/>
      <w:sz w:val="18"/>
      <w:szCs w:val="24"/>
    </w:rPr>
  </w:style>
  <w:style w:type="character" w:customStyle="1" w:styleId="apple-converted-space">
    <w:name w:val="apple-converted-space"/>
    <w:basedOn w:val="DefaultParagraphFont"/>
    <w:rsid w:val="001B5A3A"/>
  </w:style>
  <w:style w:type="character" w:customStyle="1" w:styleId="italic">
    <w:name w:val="italic"/>
    <w:basedOn w:val="DefaultParagraphFont"/>
    <w:rsid w:val="001B5A3A"/>
  </w:style>
  <w:style w:type="paragraph" w:customStyle="1" w:styleId="Footnote">
    <w:name w:val="Footnote"/>
    <w:rsid w:val="001B5A3A"/>
    <w:pPr>
      <w:pBdr>
        <w:top w:val="nil"/>
        <w:left w:val="nil"/>
        <w:bottom w:val="nil"/>
        <w:right w:val="nil"/>
        <w:between w:val="nil"/>
        <w:bar w:val="nil"/>
      </w:pBdr>
    </w:pPr>
    <w:rPr>
      <w:rFonts w:ascii="Helvetica" w:eastAsia="Helvetica" w:hAnsi="Helvetica" w:cs="Helvetica"/>
      <w:color w:val="000000"/>
      <w:sz w:val="22"/>
      <w:szCs w:val="22"/>
      <w:bdr w:val="nil"/>
    </w:rPr>
  </w:style>
  <w:style w:type="character" w:customStyle="1" w:styleId="Hyperlink0">
    <w:name w:val="Hyperlink.0"/>
    <w:basedOn w:val="Hyperlink"/>
    <w:rsid w:val="001B5A3A"/>
    <w:rPr>
      <w:rFonts w:ascii="Arial" w:hAnsi="Arial"/>
      <w:color w:val="0000FF"/>
      <w:sz w:val="24"/>
      <w:u w:val="single" w:color="0000FF"/>
    </w:rPr>
  </w:style>
  <w:style w:type="numbering" w:customStyle="1" w:styleId="List0">
    <w:name w:val="List 0"/>
    <w:basedOn w:val="NoList"/>
    <w:rsid w:val="001B5A3A"/>
    <w:pPr>
      <w:numPr>
        <w:numId w:val="6"/>
      </w:numPr>
    </w:pPr>
  </w:style>
  <w:style w:type="numbering" w:customStyle="1" w:styleId="List1">
    <w:name w:val="List 1"/>
    <w:basedOn w:val="NoList"/>
    <w:rsid w:val="001B5A3A"/>
    <w:pPr>
      <w:numPr>
        <w:numId w:val="8"/>
      </w:numPr>
    </w:pPr>
  </w:style>
  <w:style w:type="numbering" w:customStyle="1" w:styleId="Bullet">
    <w:name w:val="Bullet"/>
    <w:rsid w:val="001B5A3A"/>
    <w:pPr>
      <w:numPr>
        <w:numId w:val="9"/>
      </w:numPr>
    </w:pPr>
  </w:style>
  <w:style w:type="numbering" w:customStyle="1" w:styleId="List21">
    <w:name w:val="List 21"/>
    <w:basedOn w:val="NoList"/>
    <w:rsid w:val="001B5A3A"/>
    <w:pPr>
      <w:numPr>
        <w:numId w:val="10"/>
      </w:numPr>
    </w:pPr>
  </w:style>
  <w:style w:type="numbering" w:customStyle="1" w:styleId="List31">
    <w:name w:val="List 31"/>
    <w:basedOn w:val="NoList"/>
    <w:rsid w:val="001B5A3A"/>
    <w:pPr>
      <w:numPr>
        <w:numId w:val="11"/>
      </w:numPr>
    </w:pPr>
  </w:style>
  <w:style w:type="character" w:customStyle="1" w:styleId="Hyperlink1">
    <w:name w:val="Hyperlink.1"/>
    <w:basedOn w:val="DefaultParagraphFont"/>
    <w:rsid w:val="001B5A3A"/>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style>
  <w:style w:type="character" w:customStyle="1" w:styleId="Hyperlink2">
    <w:name w:val="Hyperlink.2"/>
    <w:basedOn w:val="Hyperlink0"/>
    <w:rsid w:val="001B5A3A"/>
    <w:rPr>
      <w:rFonts w:ascii="Arial" w:eastAsia="Arial" w:hAnsi="Arial" w:cs="Arial"/>
      <w:caps w:val="0"/>
      <w:smallCaps w:val="0"/>
      <w:strike w:val="0"/>
      <w:dstrike w:val="0"/>
      <w:color w:val="0000FF"/>
      <w:spacing w:val="0"/>
      <w:kern w:val="0"/>
      <w:position w:val="0"/>
      <w:sz w:val="24"/>
      <w:szCs w:val="24"/>
      <w:u w:val="single" w:color="0000FF"/>
      <w:vertAlign w:val="baseline"/>
      <w:lang w:val="en-US"/>
      <w14:textOutline w14:w="0" w14:cap="rnd" w14:cmpd="sng" w14:algn="ctr">
        <w14:noFill/>
        <w14:prstDash w14:val="solid"/>
        <w14:bevel/>
      </w14:textOutline>
    </w:rPr>
  </w:style>
  <w:style w:type="numbering" w:customStyle="1" w:styleId="Bullet1">
    <w:name w:val="Bullet1"/>
    <w:rsid w:val="001B5A3A"/>
    <w:pPr>
      <w:numPr>
        <w:numId w:val="4"/>
      </w:numPr>
    </w:pPr>
  </w:style>
  <w:style w:type="numbering" w:customStyle="1" w:styleId="List211">
    <w:name w:val="List 211"/>
    <w:basedOn w:val="NoList"/>
    <w:rsid w:val="001B5A3A"/>
    <w:pPr>
      <w:numPr>
        <w:numId w:val="5"/>
      </w:numPr>
    </w:pPr>
  </w:style>
  <w:style w:type="numbering" w:customStyle="1" w:styleId="List311">
    <w:name w:val="List 311"/>
    <w:basedOn w:val="NoList"/>
    <w:rsid w:val="001B5A3A"/>
    <w:pPr>
      <w:numPr>
        <w:numId w:val="7"/>
      </w:numPr>
    </w:pPr>
  </w:style>
  <w:style w:type="paragraph" w:customStyle="1" w:styleId="NCDTextBoxBullets">
    <w:name w:val="NCD.Text Box Bullets"/>
    <w:qFormat/>
    <w:rsid w:val="001B5A3A"/>
    <w:pPr>
      <w:numPr>
        <w:numId w:val="3"/>
      </w:numPr>
      <w:tabs>
        <w:tab w:val="num" w:pos="360"/>
      </w:tabs>
      <w:spacing w:after="240"/>
      <w:ind w:left="0" w:firstLine="0"/>
    </w:pPr>
    <w:rPr>
      <w:rFonts w:ascii="Arial" w:eastAsia="Calibri" w:hAnsi="Arial" w:cs="Arial"/>
      <w:sz w:val="24"/>
      <w:szCs w:val="24"/>
    </w:rPr>
  </w:style>
  <w:style w:type="paragraph" w:customStyle="1" w:styleId="NCDTextBoxHeader">
    <w:name w:val="NCD.Text Box Header"/>
    <w:qFormat/>
    <w:rsid w:val="001B5A3A"/>
    <w:pPr>
      <w:keepNext/>
      <w:spacing w:after="240"/>
      <w:jc w:val="center"/>
    </w:pPr>
    <w:rPr>
      <w:rFonts w:ascii="Arial" w:eastAsia="Calibri" w:hAnsi="Arial" w:cs="Arial"/>
      <w:b/>
      <w:sz w:val="24"/>
      <w:szCs w:val="28"/>
    </w:rPr>
  </w:style>
  <w:style w:type="paragraph" w:customStyle="1" w:styleId="NCDBodyTextSpaceBefore">
    <w:name w:val="NCD.Body Text Space Before"/>
    <w:basedOn w:val="NCDBodyText"/>
    <w:link w:val="NCDBodyTextSpaceBeforeChar"/>
    <w:qFormat/>
    <w:rsid w:val="001B5A3A"/>
    <w:rPr>
      <w:color w:val="000000" w:themeColor="text1"/>
    </w:rPr>
  </w:style>
  <w:style w:type="paragraph" w:customStyle="1" w:styleId="NCDTableText">
    <w:name w:val="NCD.Table Text"/>
    <w:qFormat/>
    <w:rsid w:val="001B5A3A"/>
    <w:rPr>
      <w:rFonts w:ascii="Arial" w:eastAsia="Times New Roman" w:hAnsi="Arial" w:cs="Arial"/>
      <w:szCs w:val="24"/>
    </w:rPr>
  </w:style>
  <w:style w:type="paragraph" w:customStyle="1" w:styleId="NCDTableHeader">
    <w:name w:val="NCD.Table Header"/>
    <w:basedOn w:val="Normal"/>
    <w:qFormat/>
    <w:rsid w:val="001B5A3A"/>
    <w:pPr>
      <w:spacing w:after="0" w:line="240" w:lineRule="auto"/>
      <w:jc w:val="center"/>
    </w:pPr>
    <w:rPr>
      <w:rFonts w:eastAsia="Times New Roman" w:cs="Arial"/>
      <w:b/>
      <w:bCs/>
      <w:color w:val="FFFFFF" w:themeColor="background1"/>
      <w:kern w:val="0"/>
    </w:rPr>
  </w:style>
  <w:style w:type="paragraph" w:customStyle="1" w:styleId="NCDTextBoxText">
    <w:name w:val="NCD.Text Box Text"/>
    <w:qFormat/>
    <w:rsid w:val="001B5A3A"/>
    <w:pPr>
      <w:spacing w:before="60" w:after="60"/>
    </w:pPr>
    <w:rPr>
      <w:rFonts w:ascii="Arial" w:eastAsia="Calibri" w:hAnsi="Arial" w:cs="Arial"/>
      <w:sz w:val="24"/>
      <w:szCs w:val="24"/>
    </w:rPr>
  </w:style>
  <w:style w:type="paragraph" w:customStyle="1" w:styleId="NCDExhibitTitle">
    <w:name w:val="NCD.Exhibit Title"/>
    <w:qFormat/>
    <w:rsid w:val="001B5A3A"/>
    <w:pPr>
      <w:keepNext/>
      <w:spacing w:after="240"/>
    </w:pPr>
    <w:rPr>
      <w:rFonts w:ascii="Arial" w:eastAsia="Calibri" w:hAnsi="Arial" w:cs="Calibri"/>
      <w:b/>
      <w:color w:val="000000"/>
      <w:sz w:val="24"/>
      <w:szCs w:val="24"/>
      <w:u w:color="000000"/>
      <w:bdr w:val="nil"/>
    </w:rPr>
  </w:style>
  <w:style w:type="paragraph" w:customStyle="1" w:styleId="NCDTableSubhead">
    <w:name w:val="NCD.Table Subhead"/>
    <w:basedOn w:val="Normal"/>
    <w:qFormat/>
    <w:rsid w:val="001B5A3A"/>
    <w:pPr>
      <w:spacing w:after="0" w:line="240" w:lineRule="auto"/>
    </w:pPr>
    <w:rPr>
      <w:rFonts w:eastAsia="Times New Roman" w:cs="Arial"/>
      <w:b/>
      <w:bCs/>
      <w:kern w:val="0"/>
    </w:rPr>
  </w:style>
  <w:style w:type="paragraph" w:customStyle="1" w:styleId="NCDTableTextItalic">
    <w:name w:val="NCD.Table Text Italic"/>
    <w:qFormat/>
    <w:rsid w:val="001B5A3A"/>
    <w:rPr>
      <w:rFonts w:ascii="Arial" w:eastAsia="Times New Roman" w:hAnsi="Arial" w:cs="Arial"/>
      <w:i/>
      <w:iCs/>
      <w:sz w:val="22"/>
      <w:szCs w:val="22"/>
    </w:rPr>
  </w:style>
  <w:style w:type="paragraph" w:customStyle="1" w:styleId="NCDTableTextReverseSubhead">
    <w:name w:val="NCD.Table Text Reverse Subhead"/>
    <w:basedOn w:val="NCDTableTextItalic"/>
    <w:qFormat/>
    <w:rsid w:val="001B5A3A"/>
    <w:rPr>
      <w:b/>
      <w:color w:val="FFFFFF" w:themeColor="background1"/>
    </w:rPr>
  </w:style>
  <w:style w:type="paragraph" w:customStyle="1" w:styleId="Heading2noTOC">
    <w:name w:val="Heading 2 no TOC"/>
    <w:basedOn w:val="Heading2"/>
    <w:qFormat/>
    <w:rsid w:val="001B5A3A"/>
    <w:pPr>
      <w:spacing w:line="480" w:lineRule="auto"/>
    </w:pPr>
    <w:rPr>
      <w:rFonts w:cs="Times New Roman"/>
      <w:bCs w:val="0"/>
      <w:color w:val="auto"/>
      <w:kern w:val="0"/>
      <w:szCs w:val="32"/>
    </w:rPr>
  </w:style>
  <w:style w:type="paragraph" w:customStyle="1" w:styleId="NCDBulletsLevel3">
    <w:name w:val="NCD.Bullets Level 3"/>
    <w:qFormat/>
    <w:rsid w:val="001B5A3A"/>
    <w:pPr>
      <w:shd w:val="clear" w:color="auto" w:fill="FFFFFF"/>
      <w:spacing w:after="120" w:line="360" w:lineRule="auto"/>
      <w:textAlignment w:val="baseline"/>
    </w:pPr>
    <w:rPr>
      <w:rFonts w:ascii="Arial" w:eastAsia="Calibri" w:hAnsi="Arial" w:cs="Arial"/>
      <w:sz w:val="24"/>
      <w:szCs w:val="24"/>
    </w:rPr>
  </w:style>
  <w:style w:type="paragraph" w:customStyle="1" w:styleId="NCDSpace">
    <w:name w:val="NCD.Space"/>
    <w:qFormat/>
    <w:rsid w:val="001B5A3A"/>
    <w:rPr>
      <w:rFonts w:ascii="Arial" w:eastAsia="Calibri" w:hAnsi="Arial" w:cs="Calibri"/>
      <w:color w:val="000000"/>
      <w:sz w:val="24"/>
      <w:szCs w:val="24"/>
      <w:u w:color="000000"/>
      <w:bdr w:val="nil"/>
    </w:rPr>
  </w:style>
  <w:style w:type="paragraph" w:customStyle="1" w:styleId="NCDHeading3noTOC">
    <w:name w:val="NCD.Heading 3 no TOC"/>
    <w:qFormat/>
    <w:rsid w:val="001B5A3A"/>
    <w:pPr>
      <w:keepNext/>
      <w:spacing w:before="360" w:after="240"/>
    </w:pPr>
    <w:rPr>
      <w:rFonts w:ascii="Arial" w:eastAsia="Calibri" w:hAnsi="Arial" w:cs="Arial"/>
      <w:b/>
      <w:sz w:val="24"/>
      <w:szCs w:val="24"/>
    </w:rPr>
  </w:style>
  <w:style w:type="numbering" w:customStyle="1" w:styleId="NoList1">
    <w:name w:val="No List1"/>
    <w:next w:val="NoList"/>
    <w:uiPriority w:val="99"/>
    <w:semiHidden/>
    <w:unhideWhenUsed/>
    <w:rsid w:val="001B5A3A"/>
  </w:style>
  <w:style w:type="numbering" w:customStyle="1" w:styleId="NoList11">
    <w:name w:val="No List11"/>
    <w:next w:val="NoList"/>
    <w:uiPriority w:val="99"/>
    <w:semiHidden/>
    <w:unhideWhenUsed/>
    <w:rsid w:val="001B5A3A"/>
  </w:style>
  <w:style w:type="table" w:customStyle="1" w:styleId="TableGrid1">
    <w:name w:val="Table Grid1"/>
    <w:basedOn w:val="TableNormal"/>
    <w:next w:val="TableGrid"/>
    <w:uiPriority w:val="59"/>
    <w:rsid w:val="001B5A3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P9Hyperlink">
    <w:name w:val="WP9_Hyperlink"/>
    <w:rsid w:val="001B5A3A"/>
    <w:rPr>
      <w:color w:val="0000FF"/>
      <w:u w:val="single"/>
    </w:rPr>
  </w:style>
  <w:style w:type="table" w:customStyle="1" w:styleId="TableGrid2">
    <w:name w:val="Table Grid2"/>
    <w:basedOn w:val="TableNormal"/>
    <w:next w:val="TableGrid"/>
    <w:uiPriority w:val="59"/>
    <w:rsid w:val="001B5A3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IRDarkBlueTable">
    <w:name w:val="AIR Dark Blue Table"/>
    <w:basedOn w:val="TableNormal"/>
    <w:uiPriority w:val="99"/>
    <w:qFormat/>
    <w:rsid w:val="001B5A3A"/>
    <w:pPr>
      <w:spacing w:before="40" w:after="40"/>
    </w:pPr>
    <w:rPr>
      <w:rFonts w:ascii="Arial" w:eastAsia="Times New Roman" w:hAnsi="Arial"/>
      <w:szCs w:val="24"/>
    </w:rPr>
    <w:tblPr>
      <w:tblStyleRowBandSize w:val="1"/>
      <w:tblStyleColBandSize w:val="1"/>
      <w:tblBorders>
        <w:top w:val="single" w:sz="4" w:space="0" w:color="005295"/>
        <w:left w:val="single" w:sz="4" w:space="0" w:color="005295"/>
        <w:bottom w:val="single" w:sz="4" w:space="0" w:color="005295"/>
        <w:right w:val="single" w:sz="4" w:space="0" w:color="005295"/>
        <w:insideH w:val="single" w:sz="4" w:space="0" w:color="005295"/>
        <w:insideV w:val="single" w:sz="4" w:space="0" w:color="005295"/>
      </w:tblBorders>
      <w:tblCellMar>
        <w:top w:w="43" w:type="dxa"/>
        <w:left w:w="72" w:type="dxa"/>
        <w:bottom w:w="43" w:type="dxa"/>
        <w:right w:w="72" w:type="dxa"/>
      </w:tblCellMar>
    </w:tblPr>
    <w:trPr>
      <w:cantSplit/>
    </w:trPr>
    <w:tcPr>
      <w:vAlign w:val="center"/>
    </w:tcPr>
    <w:tblStylePr w:type="firstRow">
      <w:pPr>
        <w:wordWrap/>
        <w:spacing w:beforeLines="0" w:before="40" w:beforeAutospacing="0" w:afterLines="0" w:after="40" w:afterAutospacing="0" w:line="240" w:lineRule="auto"/>
        <w:ind w:leftChars="0" w:left="0" w:rightChars="0" w:right="0" w:firstLineChars="0" w:firstLine="0"/>
        <w:contextualSpacing w:val="0"/>
        <w:jc w:val="center"/>
      </w:pPr>
      <w:rPr>
        <w:rFonts w:ascii="Arial" w:hAnsi="Arial"/>
        <w:b/>
        <w:i w:val="0"/>
        <w:caps w:val="0"/>
        <w:small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tblPr/>
      <w:trPr>
        <w:tblHeader/>
      </w:trPr>
      <w:tcPr>
        <w:tcBorders>
          <w:top w:val="single" w:sz="4" w:space="0" w:color="002C5F"/>
          <w:left w:val="single" w:sz="4" w:space="0" w:color="002C5F"/>
          <w:bottom w:val="single" w:sz="4" w:space="0" w:color="002C5F"/>
          <w:right w:val="single" w:sz="4" w:space="0" w:color="002C5F"/>
          <w:insideH w:val="single" w:sz="4" w:space="0" w:color="002C5F"/>
          <w:insideV w:val="single" w:sz="4" w:space="0" w:color="FFFFFF"/>
          <w:tl2br w:val="nil"/>
          <w:tr2bl w:val="nil"/>
        </w:tcBorders>
        <w:shd w:val="clear" w:color="auto" w:fill="002C5F"/>
        <w:vAlign w:val="bottom"/>
      </w:tcPr>
    </w:tblStylePr>
  </w:style>
  <w:style w:type="character" w:customStyle="1" w:styleId="hvr">
    <w:name w:val="hvr"/>
    <w:basedOn w:val="DefaultParagraphFont"/>
    <w:rsid w:val="001B5A3A"/>
  </w:style>
  <w:style w:type="numbering" w:customStyle="1" w:styleId="NoList111">
    <w:name w:val="No List111"/>
    <w:next w:val="NoList"/>
    <w:uiPriority w:val="99"/>
    <w:semiHidden/>
    <w:unhideWhenUsed/>
    <w:rsid w:val="001B5A3A"/>
  </w:style>
  <w:style w:type="paragraph" w:customStyle="1" w:styleId="AboutAIRLocations">
    <w:name w:val="About AIR Locations"/>
    <w:qFormat/>
    <w:rsid w:val="001B5A3A"/>
    <w:pPr>
      <w:suppressAutoHyphens/>
    </w:pPr>
    <w:rPr>
      <w:rFonts w:ascii="Franklin Gothic Book" w:eastAsia="Calibri" w:hAnsi="Franklin Gothic Book" w:cs="ITCFranklinGothicStd-Book"/>
      <w:color w:val="005295"/>
      <w:sz w:val="24"/>
      <w:szCs w:val="24"/>
    </w:rPr>
  </w:style>
  <w:style w:type="paragraph" w:customStyle="1" w:styleId="AboutAIRText">
    <w:name w:val="About AIR Text"/>
    <w:basedOn w:val="Normal"/>
    <w:qFormat/>
    <w:rsid w:val="001B5A3A"/>
    <w:pPr>
      <w:suppressAutoHyphens/>
      <w:autoSpaceDE w:val="0"/>
      <w:autoSpaceDN w:val="0"/>
      <w:adjustRightInd w:val="0"/>
      <w:spacing w:before="60" w:after="0" w:line="360" w:lineRule="auto"/>
      <w:textAlignment w:val="center"/>
    </w:pPr>
    <w:rPr>
      <w:rFonts w:ascii="Franklin Gothic Book" w:eastAsia="Calibri" w:hAnsi="Franklin Gothic Book" w:cs="ITCFranklinGothicStd-Book"/>
      <w:color w:val="000000"/>
      <w:kern w:val="0"/>
      <w:sz w:val="18"/>
      <w:szCs w:val="18"/>
    </w:rPr>
  </w:style>
  <w:style w:type="paragraph" w:customStyle="1" w:styleId="AboutAIRTitle">
    <w:name w:val="About AIR Title"/>
    <w:basedOn w:val="Normal"/>
    <w:qFormat/>
    <w:rsid w:val="001B5A3A"/>
    <w:pPr>
      <w:suppressAutoHyphens/>
      <w:autoSpaceDE w:val="0"/>
      <w:autoSpaceDN w:val="0"/>
      <w:adjustRightInd w:val="0"/>
      <w:spacing w:after="0" w:line="288" w:lineRule="auto"/>
      <w:textAlignment w:val="center"/>
    </w:pPr>
    <w:rPr>
      <w:rFonts w:ascii="Franklin Gothic Book" w:eastAsia="Calibri" w:hAnsi="Franklin Gothic Book" w:cs="ITCFranklinGothicStd-Book"/>
      <w:caps/>
      <w:color w:val="005295"/>
      <w:kern w:val="0"/>
    </w:rPr>
  </w:style>
  <w:style w:type="table" w:customStyle="1" w:styleId="AIRDarkBlueTable1">
    <w:name w:val="AIR Dark Blue Table1"/>
    <w:basedOn w:val="TableNormal"/>
    <w:uiPriority w:val="99"/>
    <w:qFormat/>
    <w:rsid w:val="001B5A3A"/>
    <w:pPr>
      <w:spacing w:before="40" w:after="40"/>
    </w:pPr>
    <w:rPr>
      <w:rFonts w:ascii="Arial" w:eastAsia="Times New Roman" w:hAnsi="Arial"/>
      <w:szCs w:val="24"/>
    </w:rPr>
    <w:tblPr>
      <w:tblStyleRowBandSize w:val="1"/>
      <w:tblStyleColBandSize w:val="1"/>
      <w:tblBorders>
        <w:top w:val="single" w:sz="4" w:space="0" w:color="005295"/>
        <w:left w:val="single" w:sz="4" w:space="0" w:color="005295"/>
        <w:bottom w:val="single" w:sz="4" w:space="0" w:color="005295"/>
        <w:right w:val="single" w:sz="4" w:space="0" w:color="005295"/>
        <w:insideH w:val="single" w:sz="4" w:space="0" w:color="005295"/>
        <w:insideV w:val="single" w:sz="4" w:space="0" w:color="005295"/>
      </w:tblBorders>
      <w:tblCellMar>
        <w:top w:w="43" w:type="dxa"/>
        <w:left w:w="72" w:type="dxa"/>
        <w:bottom w:w="43" w:type="dxa"/>
        <w:right w:w="72" w:type="dxa"/>
      </w:tblCellMar>
    </w:tblPr>
    <w:trPr>
      <w:cantSplit/>
    </w:trPr>
    <w:tcPr>
      <w:vAlign w:val="center"/>
    </w:tcPr>
    <w:tblStylePr w:type="firstRow">
      <w:pPr>
        <w:wordWrap/>
        <w:spacing w:beforeLines="0" w:before="40" w:beforeAutospacing="0" w:afterLines="0" w:after="40" w:afterAutospacing="0" w:line="240" w:lineRule="auto"/>
        <w:ind w:leftChars="0" w:left="0" w:rightChars="0" w:right="0" w:firstLineChars="0" w:firstLine="0"/>
        <w:contextualSpacing w:val="0"/>
        <w:jc w:val="center"/>
      </w:pPr>
      <w:rPr>
        <w:rFonts w:ascii="Arial" w:hAnsi="Arial"/>
        <w:b/>
        <w:i w:val="0"/>
        <w:caps w:val="0"/>
        <w:small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tblPr/>
      <w:trPr>
        <w:tblHeader/>
      </w:trPr>
      <w:tcPr>
        <w:tcBorders>
          <w:top w:val="single" w:sz="4" w:space="0" w:color="002C5F"/>
          <w:left w:val="single" w:sz="4" w:space="0" w:color="002C5F"/>
          <w:bottom w:val="single" w:sz="4" w:space="0" w:color="002C5F"/>
          <w:right w:val="single" w:sz="4" w:space="0" w:color="002C5F"/>
          <w:insideH w:val="single" w:sz="4" w:space="0" w:color="002C5F"/>
          <w:insideV w:val="single" w:sz="4" w:space="0" w:color="FFFFFF"/>
          <w:tl2br w:val="nil"/>
          <w:tr2bl w:val="nil"/>
        </w:tcBorders>
        <w:shd w:val="clear" w:color="auto" w:fill="002C5F"/>
        <w:vAlign w:val="bottom"/>
      </w:tcPr>
    </w:tblStylePr>
  </w:style>
  <w:style w:type="table" w:customStyle="1" w:styleId="AIRLightBlueTable">
    <w:name w:val="AIR Light Blue Table"/>
    <w:basedOn w:val="TableNormal"/>
    <w:uiPriority w:val="99"/>
    <w:rsid w:val="001B5A3A"/>
    <w:pPr>
      <w:spacing w:before="40" w:after="40"/>
    </w:pPr>
    <w:rPr>
      <w:rFonts w:asciiTheme="minorHAnsi" w:eastAsia="Times New Roman" w:hAnsiTheme="minorHAnsi"/>
      <w:sz w:val="22"/>
      <w:szCs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
    <w:trPr>
      <w:cantSplit/>
    </w:trPr>
    <w:tcPr>
      <w:shd w:val="clear" w:color="auto" w:fill="auto"/>
      <w:vAlign w:val="center"/>
    </w:tcPr>
    <w:tblStylePr w:type="firstRow">
      <w:pPr>
        <w:wordWrap/>
        <w:contextualSpacing w:val="0"/>
        <w:jc w:val="left"/>
      </w:pPr>
      <w:rPr>
        <w:rFonts w:asciiTheme="minorHAnsi" w:hAnsiTheme="minorHAnsi"/>
        <w:b/>
        <w:sz w:val="22"/>
      </w:rPr>
      <w:tblPr/>
      <w:tcPr>
        <w:shd w:val="clear" w:color="auto" w:fill="70A9E0" w:themeFill="text2" w:themeFillTint="66"/>
      </w:tcPr>
    </w:tblStylePr>
    <w:tblStylePr w:type="band1Horz">
      <w:tblPr/>
      <w:tcPr>
        <w:shd w:val="clear" w:color="auto" w:fill="B7D4EF" w:themeFill="text2" w:themeFillTint="33"/>
      </w:tcPr>
    </w:tblStylePr>
  </w:style>
  <w:style w:type="table" w:customStyle="1" w:styleId="AIRLightGrayTable">
    <w:name w:val="AIR Light Gray Table"/>
    <w:basedOn w:val="TableNormal"/>
    <w:uiPriority w:val="99"/>
    <w:rsid w:val="001B5A3A"/>
    <w:pPr>
      <w:spacing w:before="40" w:after="40"/>
    </w:pPr>
    <w:rPr>
      <w:rFonts w:asciiTheme="minorHAnsi" w:eastAsia="Times New Roman" w:hAnsiTheme="minorHAnsi"/>
      <w:sz w:val="22"/>
      <w:szCs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
    <w:trPr>
      <w:cantSplit/>
    </w:trPr>
    <w:tcPr>
      <w:vAlign w:val="center"/>
    </w:tcPr>
    <w:tblStylePr w:type="firstRow">
      <w:pPr>
        <w:jc w:val="left"/>
      </w:pPr>
      <w:rPr>
        <w:rFonts w:asciiTheme="minorHAnsi" w:hAnsiTheme="minorHAnsi"/>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center"/>
      </w:tcPr>
    </w:tblStylePr>
    <w:tblStylePr w:type="lastRow">
      <w:pPr>
        <w:wordWrap/>
        <w:spacing w:beforeLines="0" w:before="40" w:beforeAutospacing="0" w:afterLines="0" w:after="40" w:afterAutospacing="0" w:line="240" w:lineRule="auto"/>
        <w:contextualSpacing w:val="0"/>
      </w:pPr>
      <w:rPr>
        <w:rFonts w:asciiTheme="minorHAnsi" w:hAnsiTheme="minorHAnsi"/>
        <w:sz w:val="22"/>
      </w:rPr>
    </w:tblStylePr>
  </w:style>
  <w:style w:type="table" w:customStyle="1" w:styleId="AIRTable">
    <w:name w:val="AIR Table"/>
    <w:basedOn w:val="TableNormal"/>
    <w:uiPriority w:val="99"/>
    <w:qFormat/>
    <w:rsid w:val="001B5A3A"/>
    <w:rPr>
      <w:rFonts w:ascii="Arial" w:eastAsia="Times New Roman" w:hAnsi="Arial"/>
      <w:szCs w:val="22"/>
    </w:rPr>
    <w:tblPr>
      <w:tblInd w:w="86" w:type="dxa"/>
      <w:tblBorders>
        <w:top w:val="single" w:sz="4" w:space="0" w:color="005295"/>
        <w:left w:val="single" w:sz="4" w:space="0" w:color="005295"/>
        <w:bottom w:val="single" w:sz="4" w:space="0" w:color="005295"/>
        <w:right w:val="single" w:sz="4" w:space="0" w:color="005295"/>
        <w:insideH w:val="single" w:sz="4" w:space="0" w:color="005295"/>
        <w:insideV w:val="single" w:sz="4" w:space="0" w:color="005295"/>
      </w:tblBorders>
      <w:tblCellMar>
        <w:top w:w="29" w:type="dxa"/>
        <w:left w:w="72" w:type="dxa"/>
        <w:bottom w:w="29" w:type="dxa"/>
        <w:right w:w="72" w:type="dxa"/>
      </w:tblCellMar>
    </w:tblPr>
    <w:tblStylePr w:type="firstRow">
      <w:pPr>
        <w:wordWrap/>
        <w:spacing w:beforeLines="0" w:beforeAutospacing="0" w:afterLines="0" w:afterAutospacing="0" w:line="240" w:lineRule="auto"/>
        <w:ind w:leftChars="0" w:left="0" w:rightChars="0" w:right="0" w:firstLineChars="0" w:firstLine="0"/>
        <w:jc w:val="center"/>
      </w:pPr>
      <w:rPr>
        <w:rFonts w:ascii="Arial" w:hAnsi="Arial"/>
        <w:color w:val="FFFFFF" w:themeColor="background1"/>
        <w:sz w:val="20"/>
      </w:rPr>
      <w:tblPr/>
      <w:tcPr>
        <w:tcBorders>
          <w:top w:val="single" w:sz="4" w:space="0" w:color="002C5F"/>
          <w:left w:val="single" w:sz="4" w:space="0" w:color="002C5F"/>
          <w:bottom w:val="single" w:sz="4" w:space="0" w:color="002C5F"/>
          <w:right w:val="single" w:sz="4" w:space="0" w:color="002C5F"/>
          <w:insideH w:val="single" w:sz="4" w:space="0" w:color="002C5F"/>
          <w:insideV w:val="single" w:sz="4" w:space="0" w:color="FFFFFF" w:themeColor="background1"/>
          <w:tl2br w:val="nil"/>
          <w:tr2bl w:val="nil"/>
        </w:tcBorders>
        <w:shd w:val="clear" w:color="auto" w:fill="002C5F"/>
      </w:tcPr>
    </w:tblStylePr>
  </w:style>
  <w:style w:type="paragraph" w:customStyle="1" w:styleId="BackCoverAddress">
    <w:name w:val="Back Cover Address"/>
    <w:basedOn w:val="Normal"/>
    <w:qFormat/>
    <w:rsid w:val="001B5A3A"/>
    <w:pPr>
      <w:suppressAutoHyphens/>
      <w:spacing w:after="0" w:line="288" w:lineRule="auto"/>
    </w:pPr>
    <w:rPr>
      <w:rFonts w:ascii="Franklin Gothic Book" w:eastAsiaTheme="minorEastAsia" w:hAnsi="Franklin Gothic Book" w:cs="ITCFranklinGothicStd-Book"/>
      <w:kern w:val="0"/>
      <w:sz w:val="20"/>
      <w:szCs w:val="20"/>
    </w:rPr>
  </w:style>
  <w:style w:type="paragraph" w:customStyle="1" w:styleId="BackCoverLocationTitle">
    <w:name w:val="Back Cover Location Title"/>
    <w:qFormat/>
    <w:rsid w:val="001B5A3A"/>
    <w:pPr>
      <w:suppressAutoHyphens/>
      <w:spacing w:after="120" w:line="276" w:lineRule="auto"/>
    </w:pPr>
    <w:rPr>
      <w:rFonts w:ascii="Franklin Gothic Book" w:eastAsia="Calibri" w:hAnsi="Franklin Gothic Book" w:cs="ITCFranklinGothicStd-Book"/>
      <w:caps/>
      <w:color w:val="005295"/>
      <w:sz w:val="24"/>
      <w:szCs w:val="24"/>
    </w:rPr>
  </w:style>
  <w:style w:type="paragraph" w:customStyle="1" w:styleId="BackCoverLocationH2">
    <w:name w:val="Back Cover Location H2"/>
    <w:basedOn w:val="BackCoverLocationTitle"/>
    <w:qFormat/>
    <w:rsid w:val="001B5A3A"/>
    <w:pPr>
      <w:spacing w:after="0"/>
    </w:pPr>
    <w:rPr>
      <w:caps w:val="0"/>
    </w:rPr>
  </w:style>
  <w:style w:type="paragraph" w:customStyle="1" w:styleId="BackCoverURL">
    <w:name w:val="Back Cover URL"/>
    <w:basedOn w:val="BackCoverAddress"/>
    <w:qFormat/>
    <w:rsid w:val="001B5A3A"/>
    <w:pPr>
      <w:spacing w:before="120"/>
    </w:pPr>
    <w:rPr>
      <w:b/>
    </w:rPr>
  </w:style>
  <w:style w:type="paragraph" w:styleId="BodyText">
    <w:name w:val="Body Text"/>
    <w:link w:val="BodyTextChar"/>
    <w:uiPriority w:val="99"/>
    <w:qFormat/>
    <w:rsid w:val="001B5A3A"/>
    <w:pPr>
      <w:spacing w:after="240"/>
    </w:pPr>
    <w:rPr>
      <w:rFonts w:asciiTheme="minorHAnsi" w:eastAsia="Times New Roman" w:hAnsiTheme="minorHAnsi"/>
      <w:sz w:val="24"/>
      <w:szCs w:val="24"/>
    </w:rPr>
  </w:style>
  <w:style w:type="character" w:customStyle="1" w:styleId="BodyTextChar">
    <w:name w:val="Body Text Char"/>
    <w:basedOn w:val="DefaultParagraphFont"/>
    <w:link w:val="BodyText"/>
    <w:uiPriority w:val="99"/>
    <w:rsid w:val="001B5A3A"/>
    <w:rPr>
      <w:rFonts w:asciiTheme="minorHAnsi" w:eastAsia="Times New Roman" w:hAnsiTheme="minorHAnsi"/>
      <w:sz w:val="24"/>
      <w:szCs w:val="24"/>
    </w:rPr>
  </w:style>
  <w:style w:type="paragraph" w:customStyle="1" w:styleId="BlockQuote">
    <w:name w:val="Block Quote"/>
    <w:basedOn w:val="BodyText"/>
    <w:qFormat/>
    <w:rsid w:val="001B5A3A"/>
    <w:pPr>
      <w:spacing w:before="120"/>
      <w:ind w:left="720"/>
    </w:pPr>
  </w:style>
  <w:style w:type="paragraph" w:styleId="ListBullet">
    <w:name w:val="List Bullet"/>
    <w:basedOn w:val="Normal"/>
    <w:uiPriority w:val="99"/>
    <w:semiHidden/>
    <w:unhideWhenUsed/>
    <w:rsid w:val="001B5A3A"/>
    <w:pPr>
      <w:numPr>
        <w:numId w:val="12"/>
      </w:numPr>
      <w:tabs>
        <w:tab w:val="clear" w:pos="360"/>
      </w:tabs>
      <w:spacing w:after="0" w:line="240" w:lineRule="auto"/>
      <w:ind w:left="0" w:firstLine="0"/>
      <w:contextualSpacing/>
    </w:pPr>
    <w:rPr>
      <w:rFonts w:asciiTheme="minorHAnsi" w:eastAsiaTheme="minorEastAsia" w:hAnsiTheme="minorHAnsi" w:cstheme="minorBidi"/>
      <w:kern w:val="0"/>
      <w:szCs w:val="22"/>
    </w:rPr>
  </w:style>
  <w:style w:type="paragraph" w:customStyle="1" w:styleId="Bullet10">
    <w:name w:val="Bullet 1"/>
    <w:basedOn w:val="ListBullet"/>
    <w:qFormat/>
    <w:rsid w:val="001B5A3A"/>
    <w:pPr>
      <w:numPr>
        <w:numId w:val="13"/>
      </w:numPr>
      <w:spacing w:after="120"/>
      <w:ind w:left="0" w:firstLine="0"/>
      <w:contextualSpacing w:val="0"/>
    </w:pPr>
    <w:rPr>
      <w:rFonts w:eastAsia="Times New Roman" w:cs="Times New Roman"/>
      <w:szCs w:val="24"/>
    </w:rPr>
  </w:style>
  <w:style w:type="paragraph" w:customStyle="1" w:styleId="Bullet1Last">
    <w:name w:val="Bullet 1_Last"/>
    <w:basedOn w:val="Bullet10"/>
    <w:qFormat/>
    <w:rsid w:val="001B5A3A"/>
    <w:pPr>
      <w:numPr>
        <w:numId w:val="0"/>
      </w:numPr>
      <w:spacing w:after="240"/>
    </w:pPr>
  </w:style>
  <w:style w:type="paragraph" w:styleId="ListBullet2">
    <w:name w:val="List Bullet 2"/>
    <w:basedOn w:val="Normal"/>
    <w:uiPriority w:val="99"/>
    <w:semiHidden/>
    <w:unhideWhenUsed/>
    <w:rsid w:val="001B5A3A"/>
    <w:pPr>
      <w:numPr>
        <w:numId w:val="14"/>
      </w:numPr>
      <w:tabs>
        <w:tab w:val="clear" w:pos="720"/>
      </w:tabs>
      <w:spacing w:after="0" w:line="240" w:lineRule="auto"/>
      <w:ind w:left="0" w:firstLine="0"/>
      <w:contextualSpacing/>
    </w:pPr>
    <w:rPr>
      <w:rFonts w:asciiTheme="minorHAnsi" w:eastAsiaTheme="minorEastAsia" w:hAnsiTheme="minorHAnsi" w:cstheme="minorBidi"/>
      <w:kern w:val="0"/>
      <w:szCs w:val="22"/>
    </w:rPr>
  </w:style>
  <w:style w:type="paragraph" w:customStyle="1" w:styleId="Bullet2">
    <w:name w:val="Bullet 2"/>
    <w:basedOn w:val="ListBullet2"/>
    <w:qFormat/>
    <w:rsid w:val="001B5A3A"/>
    <w:pPr>
      <w:numPr>
        <w:numId w:val="15"/>
      </w:numPr>
      <w:spacing w:after="120"/>
      <w:ind w:left="0" w:firstLine="0"/>
    </w:pPr>
    <w:rPr>
      <w:rFonts w:eastAsia="Times New Roman" w:cs="Times New Roman"/>
      <w:szCs w:val="24"/>
    </w:rPr>
  </w:style>
  <w:style w:type="paragraph" w:styleId="ListBullet3">
    <w:name w:val="List Bullet 3"/>
    <w:basedOn w:val="Normal"/>
    <w:uiPriority w:val="99"/>
    <w:unhideWhenUsed/>
    <w:rsid w:val="001B5A3A"/>
    <w:pPr>
      <w:numPr>
        <w:ilvl w:val="1"/>
        <w:numId w:val="15"/>
      </w:numPr>
      <w:tabs>
        <w:tab w:val="clear" w:pos="1440"/>
      </w:tabs>
      <w:spacing w:after="0" w:line="240" w:lineRule="auto"/>
      <w:ind w:left="0" w:firstLine="0"/>
      <w:contextualSpacing/>
    </w:pPr>
    <w:rPr>
      <w:rFonts w:asciiTheme="minorHAnsi" w:eastAsiaTheme="minorEastAsia" w:hAnsiTheme="minorHAnsi" w:cstheme="minorBidi"/>
      <w:kern w:val="0"/>
      <w:szCs w:val="22"/>
    </w:rPr>
  </w:style>
  <w:style w:type="paragraph" w:customStyle="1" w:styleId="Bullet3">
    <w:name w:val="Bullet 3"/>
    <w:basedOn w:val="ListBullet3"/>
    <w:qFormat/>
    <w:rsid w:val="001B5A3A"/>
    <w:pPr>
      <w:numPr>
        <w:ilvl w:val="0"/>
        <w:numId w:val="16"/>
      </w:numPr>
      <w:spacing w:after="120"/>
      <w:ind w:left="0" w:firstLine="0"/>
    </w:pPr>
  </w:style>
  <w:style w:type="paragraph" w:customStyle="1" w:styleId="TableTitle">
    <w:name w:val="Table Title"/>
    <w:qFormat/>
    <w:rsid w:val="001B5A3A"/>
    <w:pPr>
      <w:keepNext/>
      <w:spacing w:after="120"/>
    </w:pPr>
    <w:rPr>
      <w:rFonts w:ascii="Arial" w:eastAsia="Times New Roman" w:hAnsi="Arial" w:cs="Times"/>
      <w:b/>
      <w:color w:val="002C5F"/>
      <w:szCs w:val="24"/>
    </w:rPr>
  </w:style>
  <w:style w:type="paragraph" w:styleId="Caption">
    <w:name w:val="caption"/>
    <w:basedOn w:val="TableTitle"/>
    <w:next w:val="Normal"/>
    <w:uiPriority w:val="35"/>
    <w:unhideWhenUsed/>
    <w:qFormat/>
    <w:rsid w:val="001B5A3A"/>
  </w:style>
  <w:style w:type="paragraph" w:customStyle="1" w:styleId="ContentsHeading">
    <w:name w:val="Contents Heading"/>
    <w:next w:val="BodyText"/>
    <w:qFormat/>
    <w:rsid w:val="001B5A3A"/>
    <w:pPr>
      <w:spacing w:after="360"/>
      <w:jc w:val="center"/>
    </w:pPr>
    <w:rPr>
      <w:rFonts w:ascii="Arial" w:eastAsia="Perpetua" w:hAnsi="Arial" w:cstheme="majorHAnsi"/>
      <w:b/>
      <w:noProof/>
      <w:color w:val="002C5F"/>
      <w:sz w:val="36"/>
      <w:szCs w:val="36"/>
    </w:rPr>
  </w:style>
  <w:style w:type="paragraph" w:customStyle="1" w:styleId="ContentsPage">
    <w:name w:val="Contents_Page"/>
    <w:basedOn w:val="Normal"/>
    <w:qFormat/>
    <w:rsid w:val="001B5A3A"/>
    <w:pPr>
      <w:spacing w:after="120" w:line="240" w:lineRule="auto"/>
      <w:jc w:val="right"/>
    </w:pPr>
    <w:rPr>
      <w:rFonts w:asciiTheme="minorHAnsi" w:eastAsia="Times New Roman" w:hAnsiTheme="minorHAnsi"/>
      <w:b/>
      <w:bCs/>
      <w:kern w:val="0"/>
      <w:szCs w:val="20"/>
    </w:rPr>
  </w:style>
  <w:style w:type="paragraph" w:customStyle="1" w:styleId="Copyrightinfo">
    <w:name w:val="Copyright info"/>
    <w:basedOn w:val="Normal"/>
    <w:link w:val="CopyrightinfoChar"/>
    <w:qFormat/>
    <w:rsid w:val="001B5A3A"/>
    <w:pPr>
      <w:spacing w:after="120" w:line="240" w:lineRule="auto"/>
    </w:pPr>
    <w:rPr>
      <w:rFonts w:asciiTheme="minorHAnsi" w:eastAsia="Times New Roman" w:hAnsiTheme="minorHAnsi"/>
      <w:iCs/>
      <w:kern w:val="0"/>
      <w:sz w:val="20"/>
      <w:szCs w:val="20"/>
    </w:rPr>
  </w:style>
  <w:style w:type="character" w:customStyle="1" w:styleId="CopyrightinfoChar">
    <w:name w:val="Copyright info Char"/>
    <w:basedOn w:val="DefaultParagraphFont"/>
    <w:link w:val="Copyrightinfo"/>
    <w:rsid w:val="001B5A3A"/>
    <w:rPr>
      <w:rFonts w:asciiTheme="minorHAnsi" w:eastAsia="Times New Roman" w:hAnsiTheme="minorHAnsi"/>
      <w:iCs/>
    </w:rPr>
  </w:style>
  <w:style w:type="paragraph" w:customStyle="1" w:styleId="CoverAffiliation">
    <w:name w:val="Cover Affiliation"/>
    <w:link w:val="CoverAffiliationChar"/>
    <w:qFormat/>
    <w:rsid w:val="001B5A3A"/>
    <w:pPr>
      <w:spacing w:after="200"/>
      <w:ind w:left="2434"/>
    </w:pPr>
    <w:rPr>
      <w:rFonts w:ascii="Arial" w:eastAsia="Perpetua" w:hAnsi="Arial"/>
      <w:color w:val="595959"/>
      <w:sz w:val="28"/>
      <w:szCs w:val="28"/>
    </w:rPr>
  </w:style>
  <w:style w:type="character" w:customStyle="1" w:styleId="CoverAffiliationChar">
    <w:name w:val="Cover Affiliation Char"/>
    <w:basedOn w:val="DefaultParagraphFont"/>
    <w:link w:val="CoverAffiliation"/>
    <w:rsid w:val="001B5A3A"/>
    <w:rPr>
      <w:rFonts w:ascii="Arial" w:eastAsia="Perpetua" w:hAnsi="Arial"/>
      <w:color w:val="595959"/>
      <w:sz w:val="28"/>
      <w:szCs w:val="28"/>
    </w:rPr>
  </w:style>
  <w:style w:type="paragraph" w:customStyle="1" w:styleId="CoverAuthorName">
    <w:name w:val="Cover Author Name"/>
    <w:link w:val="CoverAuthorNameChar"/>
    <w:qFormat/>
    <w:rsid w:val="001B5A3A"/>
    <w:pPr>
      <w:spacing w:before="240" w:after="200"/>
      <w:ind w:left="2434"/>
    </w:pPr>
    <w:rPr>
      <w:rFonts w:ascii="Arial" w:eastAsia="Perpetua" w:hAnsi="Arial"/>
      <w:b/>
      <w:color w:val="595959"/>
      <w:sz w:val="28"/>
      <w:szCs w:val="28"/>
    </w:rPr>
  </w:style>
  <w:style w:type="character" w:customStyle="1" w:styleId="CoverAuthorNameChar">
    <w:name w:val="Cover Author Name Char"/>
    <w:basedOn w:val="DefaultParagraphFont"/>
    <w:link w:val="CoverAuthorName"/>
    <w:rsid w:val="001B5A3A"/>
    <w:rPr>
      <w:rFonts w:ascii="Arial" w:eastAsia="Perpetua" w:hAnsi="Arial"/>
      <w:b/>
      <w:color w:val="595959"/>
      <w:sz w:val="28"/>
      <w:szCs w:val="28"/>
    </w:rPr>
  </w:style>
  <w:style w:type="paragraph" w:customStyle="1" w:styleId="CoverBackAddress">
    <w:name w:val="Cover Back Address"/>
    <w:basedOn w:val="Normal"/>
    <w:qFormat/>
    <w:rsid w:val="001B5A3A"/>
    <w:pPr>
      <w:suppressAutoHyphens/>
      <w:autoSpaceDE w:val="0"/>
      <w:autoSpaceDN w:val="0"/>
      <w:adjustRightInd w:val="0"/>
      <w:spacing w:after="0" w:line="288" w:lineRule="auto"/>
      <w:textAlignment w:val="center"/>
    </w:pPr>
    <w:rPr>
      <w:rFonts w:ascii="Franklin Gothic Book" w:eastAsia="Calibri" w:hAnsi="Franklin Gothic Book" w:cs="ITCFranklinGothicStd-Book"/>
      <w:color w:val="000000"/>
      <w:kern w:val="0"/>
      <w:sz w:val="20"/>
      <w:szCs w:val="20"/>
    </w:rPr>
  </w:style>
  <w:style w:type="paragraph" w:customStyle="1" w:styleId="CoverBackFooter">
    <w:name w:val="Cover Back Footer"/>
    <w:basedOn w:val="Normal"/>
    <w:qFormat/>
    <w:rsid w:val="001B5A3A"/>
    <w:pPr>
      <w:tabs>
        <w:tab w:val="center" w:pos="4680"/>
        <w:tab w:val="right" w:pos="9360"/>
      </w:tabs>
      <w:spacing w:after="0" w:line="240" w:lineRule="auto"/>
      <w:ind w:left="720"/>
      <w:jc w:val="right"/>
    </w:pPr>
    <w:rPr>
      <w:rFonts w:ascii="Franklin Gothic Book" w:eastAsia="Times New Roman" w:hAnsi="Franklin Gothic Book"/>
      <w:kern w:val="0"/>
      <w:sz w:val="18"/>
      <w:szCs w:val="18"/>
    </w:rPr>
  </w:style>
  <w:style w:type="paragraph" w:customStyle="1" w:styleId="CoverBackURL">
    <w:name w:val="Cover Back URL"/>
    <w:basedOn w:val="Normal"/>
    <w:qFormat/>
    <w:rsid w:val="001B5A3A"/>
    <w:pPr>
      <w:suppressAutoHyphens/>
      <w:autoSpaceDE w:val="0"/>
      <w:autoSpaceDN w:val="0"/>
      <w:adjustRightInd w:val="0"/>
      <w:spacing w:before="90" w:after="0" w:line="288" w:lineRule="auto"/>
      <w:textAlignment w:val="center"/>
    </w:pPr>
    <w:rPr>
      <w:rFonts w:ascii="Franklin Gothic Demi" w:eastAsia="Calibri" w:hAnsi="Franklin Gothic Demi" w:cs="ITCFranklinGothicStd-Demi"/>
      <w:color w:val="000000"/>
      <w:kern w:val="0"/>
      <w:sz w:val="20"/>
      <w:szCs w:val="20"/>
    </w:rPr>
  </w:style>
  <w:style w:type="paragraph" w:customStyle="1" w:styleId="CoverDate">
    <w:name w:val="Cover Date"/>
    <w:basedOn w:val="Normal"/>
    <w:qFormat/>
    <w:rsid w:val="001B5A3A"/>
    <w:pPr>
      <w:spacing w:after="200" w:line="276" w:lineRule="auto"/>
      <w:jc w:val="center"/>
    </w:pPr>
    <w:rPr>
      <w:rFonts w:ascii="Franklin Gothic Book" w:eastAsia="Perpetua" w:hAnsi="Franklin Gothic Book"/>
      <w:color w:val="FFFFFF"/>
      <w:spacing w:val="12"/>
      <w:kern w:val="0"/>
      <w:sz w:val="22"/>
      <w:szCs w:val="22"/>
    </w:rPr>
  </w:style>
  <w:style w:type="paragraph" w:customStyle="1" w:styleId="CoverSubtitle">
    <w:name w:val="Cover Subtitle"/>
    <w:link w:val="CoverSubtitleChar"/>
    <w:qFormat/>
    <w:rsid w:val="001B5A3A"/>
    <w:pPr>
      <w:spacing w:after="240"/>
      <w:ind w:left="2434"/>
    </w:pPr>
    <w:rPr>
      <w:rFonts w:ascii="Franklin Gothic Book" w:eastAsia="Perpetua" w:hAnsi="Franklin Gothic Book"/>
      <w:b/>
      <w:color w:val="005295"/>
      <w:sz w:val="40"/>
      <w:szCs w:val="40"/>
    </w:rPr>
  </w:style>
  <w:style w:type="character" w:customStyle="1" w:styleId="CoverSubtitleChar">
    <w:name w:val="Cover Subtitle Char"/>
    <w:basedOn w:val="DefaultParagraphFont"/>
    <w:link w:val="CoverSubtitle"/>
    <w:rsid w:val="001B5A3A"/>
    <w:rPr>
      <w:rFonts w:ascii="Franklin Gothic Book" w:eastAsia="Perpetua" w:hAnsi="Franklin Gothic Book"/>
      <w:b/>
      <w:color w:val="005295"/>
      <w:sz w:val="40"/>
      <w:szCs w:val="40"/>
    </w:rPr>
  </w:style>
  <w:style w:type="paragraph" w:customStyle="1" w:styleId="CoverTitle">
    <w:name w:val="Cover Title"/>
    <w:link w:val="CoverTitleChar"/>
    <w:qFormat/>
    <w:rsid w:val="001B5A3A"/>
    <w:pPr>
      <w:spacing w:before="4440" w:after="240"/>
      <w:ind w:left="2434"/>
    </w:pPr>
    <w:rPr>
      <w:rFonts w:ascii="Franklin Gothic Demi" w:eastAsia="Perpetua" w:hAnsi="Franklin Gothic Demi"/>
      <w:color w:val="005295"/>
      <w:sz w:val="50"/>
      <w:szCs w:val="50"/>
    </w:rPr>
  </w:style>
  <w:style w:type="character" w:customStyle="1" w:styleId="CoverTitleChar">
    <w:name w:val="Cover Title Char"/>
    <w:basedOn w:val="DefaultParagraphFont"/>
    <w:link w:val="CoverTitle"/>
    <w:rsid w:val="001B5A3A"/>
    <w:rPr>
      <w:rFonts w:ascii="Franklin Gothic Demi" w:eastAsia="Perpetua" w:hAnsi="Franklin Gothic Demi"/>
      <w:color w:val="005295"/>
      <w:sz w:val="50"/>
      <w:szCs w:val="50"/>
    </w:rPr>
  </w:style>
  <w:style w:type="paragraph" w:customStyle="1" w:styleId="FooterLetter">
    <w:name w:val="Footer Letter"/>
    <w:basedOn w:val="Normal"/>
    <w:rsid w:val="001B5A3A"/>
    <w:pPr>
      <w:pBdr>
        <w:top w:val="single" w:sz="4" w:space="1" w:color="002C5F"/>
      </w:pBdr>
      <w:tabs>
        <w:tab w:val="left" w:pos="216"/>
      </w:tabs>
      <w:spacing w:after="0" w:line="240" w:lineRule="auto"/>
      <w:jc w:val="center"/>
    </w:pPr>
    <w:rPr>
      <w:rFonts w:ascii="Franklin Gothic Book" w:eastAsia="Times New Roman" w:hAnsi="Franklin Gothic Book" w:cs="Calibri"/>
      <w:color w:val="1F487C"/>
      <w:kern w:val="0"/>
      <w:sz w:val="17"/>
      <w:szCs w:val="17"/>
    </w:rPr>
  </w:style>
  <w:style w:type="paragraph" w:customStyle="1" w:styleId="Footer2">
    <w:name w:val="Footer2"/>
    <w:basedOn w:val="Footer"/>
    <w:rsid w:val="001B5A3A"/>
    <w:pPr>
      <w:pBdr>
        <w:top w:val="single" w:sz="4" w:space="1" w:color="002C5F"/>
      </w:pBdr>
      <w:tabs>
        <w:tab w:val="clear" w:pos="4680"/>
        <w:tab w:val="clear" w:pos="9360"/>
        <w:tab w:val="right" w:pos="10224"/>
      </w:tabs>
      <w:ind w:right="1800"/>
    </w:pPr>
    <w:rPr>
      <w:rFonts w:eastAsia="Times New Roman" w:cs="Arial"/>
      <w:color w:val="000000" w:themeColor="text1"/>
      <w:kern w:val="0"/>
      <w:sz w:val="12"/>
      <w:szCs w:val="10"/>
    </w:rPr>
  </w:style>
  <w:style w:type="paragraph" w:customStyle="1" w:styleId="Heading1a-Subtitle">
    <w:name w:val="Heading 1a-Subtitle"/>
    <w:qFormat/>
    <w:rsid w:val="001B5A3A"/>
    <w:pPr>
      <w:spacing w:after="240"/>
      <w:ind w:left="2430"/>
    </w:pPr>
    <w:rPr>
      <w:rFonts w:ascii="Arial" w:eastAsia="Perpetua" w:hAnsi="Arial"/>
      <w:b/>
      <w:color w:val="002C5F"/>
      <w:sz w:val="40"/>
      <w:szCs w:val="50"/>
    </w:rPr>
  </w:style>
  <w:style w:type="numbering" w:customStyle="1" w:styleId="Level1Bullet">
    <w:name w:val="Level 1 Bullet"/>
    <w:basedOn w:val="NoList"/>
    <w:rsid w:val="001B5A3A"/>
    <w:pPr>
      <w:numPr>
        <w:numId w:val="17"/>
      </w:numPr>
    </w:pPr>
  </w:style>
  <w:style w:type="numbering" w:customStyle="1" w:styleId="Level2Bullet">
    <w:name w:val="Level 2 Bullet"/>
    <w:basedOn w:val="NoList"/>
    <w:rsid w:val="001B5A3A"/>
    <w:pPr>
      <w:numPr>
        <w:numId w:val="18"/>
      </w:numPr>
    </w:pPr>
  </w:style>
  <w:style w:type="paragraph" w:styleId="ListNumber4">
    <w:name w:val="List Number 4"/>
    <w:basedOn w:val="Normal"/>
    <w:uiPriority w:val="99"/>
    <w:semiHidden/>
    <w:unhideWhenUsed/>
    <w:rsid w:val="001B5A3A"/>
    <w:pPr>
      <w:tabs>
        <w:tab w:val="num" w:pos="1440"/>
      </w:tabs>
      <w:spacing w:before="120" w:after="0" w:line="240" w:lineRule="auto"/>
      <w:ind w:left="1440" w:hanging="360"/>
    </w:pPr>
    <w:rPr>
      <w:rFonts w:asciiTheme="minorHAnsi" w:eastAsiaTheme="minorEastAsia" w:hAnsiTheme="minorHAnsi" w:cstheme="minorBidi"/>
      <w:kern w:val="0"/>
      <w:szCs w:val="22"/>
    </w:rPr>
  </w:style>
  <w:style w:type="paragraph" w:styleId="ListNumber5">
    <w:name w:val="List Number 5"/>
    <w:basedOn w:val="Normal"/>
    <w:uiPriority w:val="99"/>
    <w:semiHidden/>
    <w:unhideWhenUsed/>
    <w:rsid w:val="001B5A3A"/>
    <w:pPr>
      <w:tabs>
        <w:tab w:val="num" w:pos="1800"/>
      </w:tabs>
      <w:spacing w:before="120" w:after="0" w:line="240" w:lineRule="auto"/>
      <w:ind w:left="1800" w:hanging="360"/>
    </w:pPr>
    <w:rPr>
      <w:rFonts w:asciiTheme="minorHAnsi" w:eastAsiaTheme="minorEastAsia" w:hAnsiTheme="minorHAnsi" w:cstheme="minorBidi"/>
      <w:kern w:val="0"/>
      <w:szCs w:val="22"/>
    </w:rPr>
  </w:style>
  <w:style w:type="character" w:customStyle="1" w:styleId="NoSpacingChar">
    <w:name w:val="No Spacing Char"/>
    <w:basedOn w:val="DefaultParagraphFont"/>
    <w:link w:val="NoSpacing"/>
    <w:uiPriority w:val="1"/>
    <w:rsid w:val="001B5A3A"/>
    <w:rPr>
      <w:kern w:val="2"/>
      <w:sz w:val="24"/>
      <w:szCs w:val="24"/>
    </w:rPr>
  </w:style>
  <w:style w:type="paragraph" w:customStyle="1" w:styleId="NumberedList">
    <w:name w:val="Numbered List"/>
    <w:qFormat/>
    <w:rsid w:val="001B5A3A"/>
    <w:pPr>
      <w:numPr>
        <w:numId w:val="19"/>
      </w:numPr>
      <w:spacing w:after="200" w:line="360" w:lineRule="auto"/>
      <w:ind w:left="0" w:firstLine="0"/>
    </w:pPr>
    <w:rPr>
      <w:rFonts w:ascii="Arial" w:eastAsia="Times New Roman" w:hAnsi="Arial"/>
      <w:sz w:val="24"/>
      <w:szCs w:val="24"/>
    </w:rPr>
  </w:style>
  <w:style w:type="character" w:styleId="PageNumber">
    <w:name w:val="page number"/>
    <w:basedOn w:val="DefaultParagraphFont"/>
    <w:rsid w:val="001B5A3A"/>
  </w:style>
  <w:style w:type="character" w:styleId="PlaceholderText">
    <w:name w:val="Placeholder Text"/>
    <w:basedOn w:val="DefaultParagraphFont"/>
    <w:uiPriority w:val="99"/>
    <w:semiHidden/>
    <w:rsid w:val="001B5A3A"/>
    <w:rPr>
      <w:color w:val="808080"/>
    </w:rPr>
  </w:style>
  <w:style w:type="paragraph" w:customStyle="1" w:styleId="Reference">
    <w:name w:val="Reference"/>
    <w:basedOn w:val="Normal"/>
    <w:link w:val="ReferenceChar"/>
    <w:rsid w:val="001B5A3A"/>
    <w:pPr>
      <w:spacing w:after="240" w:line="240" w:lineRule="auto"/>
      <w:ind w:left="360" w:hanging="360"/>
    </w:pPr>
    <w:rPr>
      <w:rFonts w:eastAsiaTheme="minorHAnsi" w:cs="Arial"/>
      <w:kern w:val="0"/>
    </w:rPr>
  </w:style>
  <w:style w:type="character" w:customStyle="1" w:styleId="ReferenceChar">
    <w:name w:val="Reference Char"/>
    <w:basedOn w:val="DefaultParagraphFont"/>
    <w:link w:val="Reference"/>
    <w:rsid w:val="001B5A3A"/>
    <w:rPr>
      <w:rFonts w:ascii="Arial" w:eastAsiaTheme="minorHAnsi" w:hAnsi="Arial" w:cs="Arial"/>
      <w:sz w:val="24"/>
      <w:szCs w:val="24"/>
    </w:rPr>
  </w:style>
  <w:style w:type="character" w:customStyle="1" w:styleId="ReferenceItalics">
    <w:name w:val="Reference Italics"/>
    <w:basedOn w:val="DefaultParagraphFont"/>
    <w:uiPriority w:val="1"/>
    <w:qFormat/>
    <w:rsid w:val="001B5A3A"/>
    <w:rPr>
      <w:i/>
    </w:rPr>
  </w:style>
  <w:style w:type="character" w:styleId="Strong">
    <w:name w:val="Strong"/>
    <w:basedOn w:val="DefaultParagraphFont"/>
    <w:uiPriority w:val="22"/>
    <w:qFormat/>
    <w:rsid w:val="001B5A3A"/>
    <w:rPr>
      <w:b/>
      <w:bCs/>
    </w:rPr>
  </w:style>
  <w:style w:type="paragraph" w:customStyle="1" w:styleId="StyleHeading2pHeading220pt">
    <w:name w:val="Style Heading 2p.Heading 2 + 20 pt"/>
    <w:rsid w:val="001B5A3A"/>
    <w:pPr>
      <w:spacing w:after="200" w:line="276" w:lineRule="auto"/>
    </w:pPr>
    <w:rPr>
      <w:rFonts w:ascii="Arial" w:eastAsia="Perpetua" w:hAnsi="Arial"/>
      <w:b/>
      <w:bCs/>
      <w:noProof/>
      <w:color w:val="002C5F"/>
      <w:sz w:val="40"/>
      <w:szCs w:val="50"/>
    </w:rPr>
  </w:style>
  <w:style w:type="paragraph" w:customStyle="1" w:styleId="StyleHeading2pHeading220pt1">
    <w:name w:val="Style Heading 2p.Heading 2 + 20 pt1"/>
    <w:rsid w:val="001B5A3A"/>
    <w:pPr>
      <w:spacing w:after="240"/>
    </w:pPr>
    <w:rPr>
      <w:rFonts w:ascii="Arial" w:eastAsia="Perpetua" w:hAnsi="Arial"/>
      <w:b/>
      <w:bCs/>
      <w:noProof/>
      <w:color w:val="002C5F"/>
      <w:sz w:val="40"/>
      <w:szCs w:val="50"/>
    </w:rPr>
  </w:style>
  <w:style w:type="paragraph" w:customStyle="1" w:styleId="TableText">
    <w:name w:val="Table Text"/>
    <w:qFormat/>
    <w:rsid w:val="001B5A3A"/>
    <w:pPr>
      <w:spacing w:before="40" w:after="40" w:line="276" w:lineRule="auto"/>
    </w:pPr>
    <w:rPr>
      <w:rFonts w:ascii="Arial" w:eastAsia="Times New Roman" w:hAnsi="Arial"/>
      <w:szCs w:val="24"/>
    </w:rPr>
  </w:style>
  <w:style w:type="paragraph" w:customStyle="1" w:styleId="TableBullet1">
    <w:name w:val="Table Bullet 1"/>
    <w:basedOn w:val="TableText"/>
    <w:qFormat/>
    <w:rsid w:val="001B5A3A"/>
    <w:pPr>
      <w:numPr>
        <w:numId w:val="20"/>
      </w:numPr>
      <w:tabs>
        <w:tab w:val="left" w:pos="269"/>
      </w:tabs>
      <w:spacing w:line="240" w:lineRule="auto"/>
      <w:ind w:left="0" w:firstLine="0"/>
    </w:pPr>
    <w:rPr>
      <w:rFonts w:eastAsiaTheme="minorEastAsia"/>
    </w:rPr>
  </w:style>
  <w:style w:type="paragraph" w:customStyle="1" w:styleId="TableBullet2">
    <w:name w:val="Table Bullet 2"/>
    <w:basedOn w:val="TableText"/>
    <w:qFormat/>
    <w:rsid w:val="001B5A3A"/>
    <w:pPr>
      <w:numPr>
        <w:numId w:val="21"/>
      </w:numPr>
      <w:spacing w:line="240" w:lineRule="auto"/>
      <w:ind w:left="0" w:firstLine="0"/>
    </w:pPr>
    <w:rPr>
      <w:rFonts w:eastAsiaTheme="minorEastAsia"/>
    </w:rPr>
  </w:style>
  <w:style w:type="paragraph" w:customStyle="1" w:styleId="TableColHeadingLeft">
    <w:name w:val="Table Col Heading Left"/>
    <w:basedOn w:val="TableText"/>
    <w:qFormat/>
    <w:rsid w:val="001B5A3A"/>
    <w:pPr>
      <w:spacing w:line="240" w:lineRule="auto"/>
    </w:pPr>
    <w:rPr>
      <w:rFonts w:ascii="Arial Bold" w:eastAsiaTheme="minorEastAsia" w:hAnsi="Arial Bold"/>
      <w:bCs/>
      <w:szCs w:val="20"/>
    </w:rPr>
  </w:style>
  <w:style w:type="paragraph" w:customStyle="1" w:styleId="TableColHeadingCenter">
    <w:name w:val="Table Col Heading Center"/>
    <w:basedOn w:val="TableColHeadingLeft"/>
    <w:qFormat/>
    <w:rsid w:val="001B5A3A"/>
    <w:pPr>
      <w:jc w:val="center"/>
    </w:pPr>
  </w:style>
  <w:style w:type="table" w:customStyle="1" w:styleId="TableGrid3">
    <w:name w:val="Table Grid3"/>
    <w:basedOn w:val="TableNormal"/>
    <w:next w:val="TableGrid"/>
    <w:rsid w:val="001B5A3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B5A3A"/>
    <w:rPr>
      <w:rFonts w:ascii="Franklin Gothic Book" w:eastAsia="Calibri" w:hAnsi="Franklin Gothic Boo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umbering">
    <w:name w:val="Table Numbering"/>
    <w:basedOn w:val="TableText"/>
    <w:qFormat/>
    <w:rsid w:val="001B5A3A"/>
    <w:pPr>
      <w:numPr>
        <w:numId w:val="22"/>
      </w:numPr>
      <w:spacing w:line="240" w:lineRule="auto"/>
      <w:ind w:left="0" w:firstLine="0"/>
    </w:pPr>
    <w:rPr>
      <w:rFonts w:eastAsiaTheme="minorEastAsia"/>
    </w:rPr>
  </w:style>
  <w:style w:type="paragraph" w:customStyle="1" w:styleId="TableSubheading">
    <w:name w:val="Table Subheading"/>
    <w:qFormat/>
    <w:rsid w:val="001B5A3A"/>
    <w:pPr>
      <w:spacing w:after="200" w:line="276" w:lineRule="auto"/>
    </w:pPr>
    <w:rPr>
      <w:rFonts w:ascii="Arial" w:eastAsiaTheme="minorEastAsia" w:hAnsi="Arial"/>
      <w:b/>
      <w:szCs w:val="24"/>
    </w:rPr>
  </w:style>
  <w:style w:type="paragraph" w:customStyle="1" w:styleId="TableTextCentered">
    <w:name w:val="Table Text Centered"/>
    <w:basedOn w:val="TableText"/>
    <w:qFormat/>
    <w:rsid w:val="001B5A3A"/>
    <w:pPr>
      <w:spacing w:line="240" w:lineRule="auto"/>
      <w:jc w:val="center"/>
    </w:pPr>
  </w:style>
  <w:style w:type="paragraph" w:customStyle="1" w:styleId="TitlePageText">
    <w:name w:val="Title Page Text"/>
    <w:basedOn w:val="Normal"/>
    <w:qFormat/>
    <w:rsid w:val="001B5A3A"/>
    <w:pPr>
      <w:spacing w:after="0" w:line="240" w:lineRule="auto"/>
      <w:ind w:left="900"/>
    </w:pPr>
    <w:rPr>
      <w:rFonts w:asciiTheme="minorHAnsi" w:eastAsia="Calibri" w:hAnsiTheme="minorHAnsi" w:cstheme="minorBidi"/>
      <w:kern w:val="0"/>
      <w:sz w:val="20"/>
      <w:szCs w:val="22"/>
    </w:rPr>
  </w:style>
  <w:style w:type="paragraph" w:customStyle="1" w:styleId="TitlePageAddress">
    <w:name w:val="Title Page Address"/>
    <w:basedOn w:val="TitlePageText"/>
    <w:link w:val="TitlePageAddressChar"/>
    <w:qFormat/>
    <w:rsid w:val="001B5A3A"/>
    <w:pPr>
      <w:spacing w:before="120" w:after="240"/>
      <w:ind w:left="907"/>
    </w:pPr>
    <w:rPr>
      <w:rFonts w:cs="Times New Roman"/>
      <w:noProof/>
      <w:sz w:val="24"/>
      <w:szCs w:val="24"/>
    </w:rPr>
  </w:style>
  <w:style w:type="character" w:customStyle="1" w:styleId="TitlePageAddressChar">
    <w:name w:val="Title Page Address Char"/>
    <w:basedOn w:val="DefaultParagraphFont"/>
    <w:link w:val="TitlePageAddress"/>
    <w:rsid w:val="001B5A3A"/>
    <w:rPr>
      <w:rFonts w:asciiTheme="minorHAnsi" w:eastAsia="Calibri" w:hAnsiTheme="minorHAnsi"/>
      <w:noProof/>
      <w:sz w:val="24"/>
      <w:szCs w:val="24"/>
    </w:rPr>
  </w:style>
  <w:style w:type="paragraph" w:customStyle="1" w:styleId="TitlePageAuthor">
    <w:name w:val="Title Page Author"/>
    <w:basedOn w:val="TitlePageText"/>
    <w:qFormat/>
    <w:rsid w:val="001B5A3A"/>
    <w:pPr>
      <w:spacing w:before="240"/>
      <w:ind w:left="907"/>
    </w:pPr>
    <w:rPr>
      <w:rFonts w:ascii="Arial" w:hAnsi="Arial"/>
      <w:b/>
      <w:sz w:val="28"/>
    </w:rPr>
  </w:style>
  <w:style w:type="paragraph" w:customStyle="1" w:styleId="TitlePageCopyrightText">
    <w:name w:val="Title Page Copyright Text"/>
    <w:basedOn w:val="Normal"/>
    <w:link w:val="TitlePageCopyrightTextChar"/>
    <w:qFormat/>
    <w:rsid w:val="001B5A3A"/>
    <w:pPr>
      <w:spacing w:after="0" w:line="240" w:lineRule="auto"/>
      <w:ind w:left="900"/>
    </w:pPr>
    <w:rPr>
      <w:rFonts w:asciiTheme="minorHAnsi" w:eastAsia="Times New Roman" w:hAnsiTheme="minorHAnsi"/>
      <w:kern w:val="0"/>
      <w:sz w:val="20"/>
    </w:rPr>
  </w:style>
  <w:style w:type="character" w:customStyle="1" w:styleId="TitlePageCopyrightTextChar">
    <w:name w:val="Title Page Copyright Text Char"/>
    <w:basedOn w:val="DefaultParagraphFont"/>
    <w:link w:val="TitlePageCopyrightText"/>
    <w:rsid w:val="001B5A3A"/>
    <w:rPr>
      <w:rFonts w:asciiTheme="minorHAnsi" w:eastAsia="Times New Roman" w:hAnsiTheme="minorHAnsi"/>
      <w:szCs w:val="24"/>
    </w:rPr>
  </w:style>
  <w:style w:type="paragraph" w:customStyle="1" w:styleId="TitlePageDate">
    <w:name w:val="Title Page Date"/>
    <w:basedOn w:val="TitlePageText"/>
    <w:next w:val="TitlePageText"/>
    <w:qFormat/>
    <w:rsid w:val="001B5A3A"/>
    <w:pPr>
      <w:spacing w:after="720"/>
      <w:ind w:left="907"/>
    </w:pPr>
    <w:rPr>
      <w:rFonts w:ascii="Arial" w:hAnsi="Arial"/>
      <w:b/>
      <w:sz w:val="32"/>
    </w:rPr>
  </w:style>
  <w:style w:type="paragraph" w:customStyle="1" w:styleId="TitlePageOrganization">
    <w:name w:val="Title Page Organization"/>
    <w:basedOn w:val="TitlePageAuthor"/>
    <w:qFormat/>
    <w:rsid w:val="001B5A3A"/>
    <w:pPr>
      <w:spacing w:after="2400"/>
    </w:pPr>
    <w:rPr>
      <w:i/>
      <w:iCs/>
    </w:rPr>
  </w:style>
  <w:style w:type="paragraph" w:customStyle="1" w:styleId="TitlePagePublicationNumber">
    <w:name w:val="Title Page Publication Number"/>
    <w:basedOn w:val="Normal"/>
    <w:qFormat/>
    <w:rsid w:val="001B5A3A"/>
    <w:pPr>
      <w:tabs>
        <w:tab w:val="right" w:pos="9360"/>
      </w:tabs>
      <w:spacing w:after="0" w:line="240" w:lineRule="auto"/>
      <w:jc w:val="right"/>
    </w:pPr>
    <w:rPr>
      <w:rFonts w:asciiTheme="minorHAnsi" w:eastAsia="Times New Roman" w:hAnsiTheme="minorHAnsi"/>
      <w:kern w:val="0"/>
      <w:sz w:val="16"/>
      <w:szCs w:val="16"/>
    </w:rPr>
  </w:style>
  <w:style w:type="paragraph" w:customStyle="1" w:styleId="TitlePagePublicationNumberandDate">
    <w:name w:val="Title Page Publication Number and Date"/>
    <w:basedOn w:val="BodyText"/>
    <w:next w:val="BodyText"/>
    <w:link w:val="TitlePagePublicationNumberandDateChar"/>
    <w:qFormat/>
    <w:rsid w:val="001B5A3A"/>
    <w:pPr>
      <w:spacing w:after="120"/>
    </w:pPr>
    <w:rPr>
      <w:sz w:val="20"/>
    </w:rPr>
  </w:style>
  <w:style w:type="character" w:customStyle="1" w:styleId="TitlePagePublicationNumberandDateChar">
    <w:name w:val="Title Page Publication Number and Date Char"/>
    <w:basedOn w:val="CopyrightinfoChar"/>
    <w:link w:val="TitlePagePublicationNumberandDate"/>
    <w:rsid w:val="001B5A3A"/>
    <w:rPr>
      <w:rFonts w:asciiTheme="minorHAnsi" w:eastAsia="Times New Roman" w:hAnsiTheme="minorHAnsi"/>
      <w:iCs w:val="0"/>
      <w:szCs w:val="24"/>
    </w:rPr>
  </w:style>
  <w:style w:type="paragraph" w:customStyle="1" w:styleId="TitlePageTitleSubtitle">
    <w:name w:val="Title Page Title/Subtitle"/>
    <w:basedOn w:val="TitlePageText"/>
    <w:qFormat/>
    <w:rsid w:val="001B5A3A"/>
    <w:pPr>
      <w:keepNext/>
      <w:keepLines/>
      <w:spacing w:before="960" w:after="960"/>
      <w:ind w:left="907"/>
    </w:pPr>
    <w:rPr>
      <w:rFonts w:ascii="Arial" w:eastAsia="Times New Roman" w:hAnsi="Arial" w:cs="Times New Roman"/>
      <w:b/>
      <w:bCs/>
      <w:sz w:val="48"/>
      <w:szCs w:val="48"/>
    </w:rPr>
  </w:style>
  <w:style w:type="paragraph" w:customStyle="1" w:styleId="TitlePageURL">
    <w:name w:val="Title Page URL"/>
    <w:basedOn w:val="TitlePageAddress"/>
    <w:qFormat/>
    <w:rsid w:val="001B5A3A"/>
    <w:rPr>
      <w:b/>
    </w:rPr>
  </w:style>
  <w:style w:type="paragraph" w:customStyle="1" w:styleId="TableTextRight">
    <w:name w:val="Table Text Right"/>
    <w:basedOn w:val="TableText"/>
    <w:qFormat/>
    <w:rsid w:val="001B5A3A"/>
    <w:pPr>
      <w:spacing w:line="240" w:lineRule="auto"/>
      <w:jc w:val="right"/>
    </w:pPr>
  </w:style>
  <w:style w:type="paragraph" w:customStyle="1" w:styleId="TableColHeadCenter-Narrow">
    <w:name w:val="Table Col Head Center-Narrow"/>
    <w:basedOn w:val="TableColHeadingCenter"/>
    <w:qFormat/>
    <w:rsid w:val="001B5A3A"/>
    <w:rPr>
      <w:rFonts w:ascii="Arial Narrow" w:hAnsi="Arial Narrow"/>
    </w:rPr>
  </w:style>
  <w:style w:type="paragraph" w:customStyle="1" w:styleId="TableHead">
    <w:name w:val="Table Head"/>
    <w:next w:val="TableofFigures"/>
    <w:qFormat/>
    <w:rsid w:val="001B5A3A"/>
    <w:pPr>
      <w:keepNext/>
      <w:keepLines/>
      <w:spacing w:before="40" w:after="40"/>
      <w:jc w:val="center"/>
    </w:pPr>
    <w:rPr>
      <w:rFonts w:ascii="Arial" w:eastAsia="Calibri" w:hAnsi="Arial" w:cs="Arial"/>
      <w:b/>
      <w:sz w:val="24"/>
      <w:szCs w:val="22"/>
    </w:rPr>
  </w:style>
  <w:style w:type="paragraph" w:styleId="TableofFigures">
    <w:name w:val="table of figures"/>
    <w:basedOn w:val="Normal"/>
    <w:next w:val="Normal"/>
    <w:uiPriority w:val="99"/>
    <w:semiHidden/>
    <w:unhideWhenUsed/>
    <w:rsid w:val="001B5A3A"/>
    <w:pPr>
      <w:spacing w:after="0" w:line="276" w:lineRule="auto"/>
    </w:pPr>
    <w:rPr>
      <w:rFonts w:asciiTheme="minorHAnsi" w:eastAsiaTheme="minorHAnsi" w:hAnsiTheme="minorHAnsi" w:cstheme="minorBidi"/>
      <w:kern w:val="0"/>
      <w:sz w:val="22"/>
      <w:szCs w:val="22"/>
    </w:rPr>
  </w:style>
  <w:style w:type="paragraph" w:customStyle="1" w:styleId="font5">
    <w:name w:val="font5"/>
    <w:basedOn w:val="Normal"/>
    <w:rsid w:val="001B5A3A"/>
    <w:pPr>
      <w:spacing w:before="100" w:beforeAutospacing="1" w:after="100" w:afterAutospacing="1" w:line="240" w:lineRule="auto"/>
    </w:pPr>
    <w:rPr>
      <w:rFonts w:ascii="Tahoma" w:eastAsia="Times New Roman" w:hAnsi="Tahoma" w:cs="Tahoma"/>
      <w:color w:val="333333"/>
      <w:kern w:val="0"/>
      <w:sz w:val="18"/>
      <w:szCs w:val="18"/>
    </w:rPr>
  </w:style>
  <w:style w:type="paragraph" w:customStyle="1" w:styleId="xl65">
    <w:name w:val="xl65"/>
    <w:basedOn w:val="Normal"/>
    <w:rsid w:val="001B5A3A"/>
    <w:pPr>
      <w:shd w:val="clear" w:color="000000" w:fill="FFFFFF"/>
      <w:spacing w:before="100" w:beforeAutospacing="1" w:after="100" w:afterAutospacing="1" w:line="240" w:lineRule="auto"/>
      <w:textAlignment w:val="center"/>
    </w:pPr>
    <w:rPr>
      <w:rFonts w:ascii="Times New Roman" w:eastAsia="Times New Roman" w:hAnsi="Times New Roman"/>
      <w:b/>
      <w:bCs/>
      <w:color w:val="660000"/>
      <w:kern w:val="0"/>
      <w:sz w:val="20"/>
      <w:szCs w:val="20"/>
    </w:rPr>
  </w:style>
  <w:style w:type="paragraph" w:customStyle="1" w:styleId="xl66">
    <w:name w:val="xl66"/>
    <w:basedOn w:val="Normal"/>
    <w:rsid w:val="001B5A3A"/>
    <w:pPr>
      <w:spacing w:before="100" w:beforeAutospacing="1" w:after="100" w:afterAutospacing="1" w:line="240" w:lineRule="auto"/>
      <w:jc w:val="right"/>
      <w:textAlignment w:val="center"/>
    </w:pPr>
    <w:rPr>
      <w:rFonts w:ascii="Tahoma" w:eastAsia="Times New Roman" w:hAnsi="Tahoma" w:cs="Tahoma"/>
      <w:kern w:val="0"/>
      <w:sz w:val="18"/>
      <w:szCs w:val="18"/>
    </w:rPr>
  </w:style>
  <w:style w:type="paragraph" w:customStyle="1" w:styleId="xl67">
    <w:name w:val="xl67"/>
    <w:basedOn w:val="Normal"/>
    <w:rsid w:val="001B5A3A"/>
    <w:pPr>
      <w:spacing w:before="100" w:beforeAutospacing="1" w:after="100" w:afterAutospacing="1" w:line="240" w:lineRule="auto"/>
      <w:jc w:val="right"/>
      <w:textAlignment w:val="center"/>
    </w:pPr>
    <w:rPr>
      <w:rFonts w:ascii="Tahoma" w:eastAsia="Times New Roman" w:hAnsi="Tahoma" w:cs="Tahoma"/>
      <w:kern w:val="0"/>
      <w:sz w:val="18"/>
      <w:szCs w:val="18"/>
    </w:rPr>
  </w:style>
  <w:style w:type="paragraph" w:customStyle="1" w:styleId="xl68">
    <w:name w:val="xl68"/>
    <w:basedOn w:val="Normal"/>
    <w:rsid w:val="001B5A3A"/>
    <w:pPr>
      <w:spacing w:before="100" w:beforeAutospacing="1" w:after="100" w:afterAutospacing="1" w:line="240" w:lineRule="auto"/>
      <w:jc w:val="right"/>
    </w:pPr>
    <w:rPr>
      <w:rFonts w:ascii="Tahoma" w:eastAsia="Times New Roman" w:hAnsi="Tahoma" w:cs="Tahoma"/>
      <w:b/>
      <w:bCs/>
      <w:kern w:val="0"/>
      <w:sz w:val="18"/>
      <w:szCs w:val="18"/>
    </w:rPr>
  </w:style>
  <w:style w:type="paragraph" w:customStyle="1" w:styleId="xl69">
    <w:name w:val="xl69"/>
    <w:basedOn w:val="Normal"/>
    <w:rsid w:val="001B5A3A"/>
    <w:pPr>
      <w:spacing w:before="100" w:beforeAutospacing="1" w:after="100" w:afterAutospacing="1" w:line="240" w:lineRule="auto"/>
      <w:jc w:val="right"/>
      <w:textAlignment w:val="center"/>
    </w:pPr>
    <w:rPr>
      <w:rFonts w:ascii="Tahoma" w:eastAsia="Times New Roman" w:hAnsi="Tahoma" w:cs="Tahoma"/>
      <w:b/>
      <w:bCs/>
      <w:kern w:val="0"/>
      <w:sz w:val="18"/>
      <w:szCs w:val="18"/>
    </w:rPr>
  </w:style>
  <w:style w:type="paragraph" w:customStyle="1" w:styleId="xl70">
    <w:name w:val="xl70"/>
    <w:basedOn w:val="Normal"/>
    <w:rsid w:val="001B5A3A"/>
    <w:pPr>
      <w:spacing w:before="100" w:beforeAutospacing="1" w:after="100" w:afterAutospacing="1" w:line="240" w:lineRule="auto"/>
      <w:jc w:val="right"/>
      <w:textAlignment w:val="center"/>
    </w:pPr>
    <w:rPr>
      <w:rFonts w:ascii="Tahoma" w:eastAsia="Times New Roman" w:hAnsi="Tahoma" w:cs="Tahoma"/>
      <w:b/>
      <w:bCs/>
      <w:color w:val="333333"/>
      <w:kern w:val="0"/>
      <w:sz w:val="18"/>
      <w:szCs w:val="18"/>
    </w:rPr>
  </w:style>
  <w:style w:type="paragraph" w:customStyle="1" w:styleId="xl71">
    <w:name w:val="xl71"/>
    <w:basedOn w:val="Normal"/>
    <w:rsid w:val="001B5A3A"/>
    <w:pPr>
      <w:spacing w:before="100" w:beforeAutospacing="1" w:after="100" w:afterAutospacing="1" w:line="240" w:lineRule="auto"/>
      <w:jc w:val="right"/>
    </w:pPr>
    <w:rPr>
      <w:rFonts w:ascii="Times New Roman" w:eastAsia="Times New Roman" w:hAnsi="Times New Roman"/>
      <w:kern w:val="0"/>
    </w:rPr>
  </w:style>
  <w:style w:type="paragraph" w:customStyle="1" w:styleId="xl72">
    <w:name w:val="xl72"/>
    <w:basedOn w:val="Normal"/>
    <w:rsid w:val="001B5A3A"/>
    <w:pPr>
      <w:spacing w:before="100" w:beforeAutospacing="1" w:after="100" w:afterAutospacing="1" w:line="240" w:lineRule="auto"/>
      <w:jc w:val="right"/>
      <w:textAlignment w:val="center"/>
    </w:pPr>
    <w:rPr>
      <w:rFonts w:ascii="Tahoma" w:eastAsia="Times New Roman" w:hAnsi="Tahoma" w:cs="Tahoma"/>
      <w:color w:val="333333"/>
      <w:kern w:val="0"/>
      <w:sz w:val="18"/>
      <w:szCs w:val="18"/>
    </w:rPr>
  </w:style>
  <w:style w:type="paragraph" w:customStyle="1" w:styleId="xl73">
    <w:name w:val="xl73"/>
    <w:basedOn w:val="Normal"/>
    <w:rsid w:val="001B5A3A"/>
    <w:pPr>
      <w:spacing w:before="100" w:beforeAutospacing="1" w:after="100" w:afterAutospacing="1" w:line="240" w:lineRule="auto"/>
      <w:jc w:val="right"/>
      <w:textAlignment w:val="center"/>
    </w:pPr>
    <w:rPr>
      <w:rFonts w:ascii="Tahoma" w:eastAsia="Times New Roman" w:hAnsi="Tahoma" w:cs="Tahoma"/>
      <w:color w:val="003399"/>
      <w:kern w:val="0"/>
      <w:sz w:val="18"/>
      <w:szCs w:val="18"/>
      <w:u w:val="single"/>
    </w:rPr>
  </w:style>
  <w:style w:type="paragraph" w:customStyle="1" w:styleId="NCDLetterofTransmittal">
    <w:name w:val="NCD.Letter of Transmittal"/>
    <w:qFormat/>
    <w:rsid w:val="001B5A3A"/>
    <w:pPr>
      <w:spacing w:before="480" w:after="240"/>
      <w:jc w:val="center"/>
      <w:outlineLvl w:val="0"/>
    </w:pPr>
    <w:rPr>
      <w:rFonts w:ascii="Arial" w:eastAsia="Times New Roman" w:hAnsi="Arial"/>
      <w:b/>
      <w:bCs/>
      <w:sz w:val="28"/>
      <w:szCs w:val="24"/>
    </w:rPr>
  </w:style>
  <w:style w:type="paragraph" w:customStyle="1" w:styleId="NCDNationalCouncilStaff">
    <w:name w:val="NCD.National Council Staff"/>
    <w:qFormat/>
    <w:rsid w:val="001B5A3A"/>
    <w:pPr>
      <w:keepNext/>
      <w:keepLines/>
      <w:spacing w:before="480" w:line="276" w:lineRule="auto"/>
      <w:jc w:val="center"/>
      <w:outlineLvl w:val="0"/>
    </w:pPr>
    <w:rPr>
      <w:rFonts w:ascii="Arial" w:eastAsiaTheme="majorEastAsia" w:hAnsi="Arial" w:cs="Arial"/>
      <w:b/>
      <w:bCs/>
      <w:sz w:val="36"/>
      <w:szCs w:val="28"/>
    </w:rPr>
  </w:style>
  <w:style w:type="paragraph" w:customStyle="1" w:styleId="NCDTableSource">
    <w:name w:val="NCD.Table Source"/>
    <w:qFormat/>
    <w:rsid w:val="001B5A3A"/>
    <w:pPr>
      <w:spacing w:before="120" w:after="240"/>
    </w:pPr>
    <w:rPr>
      <w:rFonts w:ascii="Arial" w:eastAsiaTheme="minorHAnsi" w:hAnsi="Arial" w:cs="Arial"/>
      <w:sz w:val="22"/>
    </w:rPr>
  </w:style>
  <w:style w:type="paragraph" w:customStyle="1" w:styleId="NCDInsideCoverText">
    <w:name w:val="NCD.Inside Cover Text"/>
    <w:qFormat/>
    <w:rsid w:val="001B5A3A"/>
    <w:pPr>
      <w:spacing w:before="480" w:after="200" w:line="276" w:lineRule="auto"/>
    </w:pPr>
    <w:rPr>
      <w:rFonts w:ascii="Arial" w:eastAsiaTheme="minorHAnsi" w:hAnsi="Arial" w:cs="Arial"/>
      <w:sz w:val="24"/>
      <w:szCs w:val="32"/>
    </w:rPr>
  </w:style>
  <w:style w:type="paragraph" w:customStyle="1" w:styleId="NCDInsideCoverTitle">
    <w:name w:val="NCD.Inside Cover Title"/>
    <w:qFormat/>
    <w:rsid w:val="001B5A3A"/>
    <w:pPr>
      <w:spacing w:before="480" w:line="360" w:lineRule="auto"/>
    </w:pPr>
    <w:rPr>
      <w:rFonts w:ascii="Arial" w:eastAsiaTheme="minorHAnsi" w:hAnsi="Arial" w:cs="Arial"/>
      <w:b/>
      <w:i/>
      <w:sz w:val="24"/>
      <w:szCs w:val="32"/>
    </w:rPr>
  </w:style>
  <w:style w:type="paragraph" w:customStyle="1" w:styleId="NCDCoverLetterText">
    <w:name w:val="NCD.Cover Letter Text"/>
    <w:qFormat/>
    <w:rsid w:val="001B5A3A"/>
    <w:pPr>
      <w:autoSpaceDE w:val="0"/>
      <w:autoSpaceDN w:val="0"/>
      <w:spacing w:after="240"/>
    </w:pPr>
    <w:rPr>
      <w:rFonts w:ascii="Arial" w:eastAsia="Times New Roman" w:hAnsi="Arial" w:cs="Arial"/>
      <w:iCs/>
      <w:sz w:val="24"/>
      <w:szCs w:val="24"/>
    </w:rPr>
  </w:style>
  <w:style w:type="paragraph" w:customStyle="1" w:styleId="NCDResourcesBoxHeader">
    <w:name w:val="NCD.Resources Box Header"/>
    <w:qFormat/>
    <w:rsid w:val="001B5A3A"/>
    <w:pPr>
      <w:spacing w:after="240"/>
      <w:jc w:val="center"/>
    </w:pPr>
    <w:rPr>
      <w:rFonts w:ascii="Arial" w:eastAsia="Calibri" w:hAnsi="Arial" w:cs="Calibri"/>
      <w:b/>
      <w:color w:val="000000"/>
      <w:sz w:val="24"/>
      <w:szCs w:val="24"/>
      <w:u w:color="000000"/>
      <w:bdr w:val="nil"/>
    </w:rPr>
  </w:style>
  <w:style w:type="paragraph" w:customStyle="1" w:styleId="NCDTableColumnHeadLeft">
    <w:name w:val="NCD.Table Column Head Left"/>
    <w:qFormat/>
    <w:rsid w:val="001B5A3A"/>
    <w:pPr>
      <w:keepLines/>
      <w:spacing w:before="40" w:after="40"/>
    </w:pPr>
    <w:rPr>
      <w:rFonts w:ascii="Arial" w:eastAsia="Calibri" w:hAnsi="Arial" w:cs="Calibri"/>
      <w:b/>
      <w:color w:val="000000"/>
      <w:u w:color="000000"/>
      <w:bdr w:val="nil"/>
    </w:rPr>
  </w:style>
  <w:style w:type="paragraph" w:customStyle="1" w:styleId="NCDTableColumnHeadRight">
    <w:name w:val="NCD.Table Column Head Right"/>
    <w:qFormat/>
    <w:rsid w:val="001B5A3A"/>
    <w:pPr>
      <w:spacing w:before="40" w:after="40"/>
      <w:jc w:val="right"/>
    </w:pPr>
    <w:rPr>
      <w:rFonts w:ascii="Arial" w:eastAsia="Calibri" w:hAnsi="Arial" w:cs="Calibri"/>
      <w:b/>
      <w:color w:val="000000"/>
      <w:u w:color="000000"/>
      <w:bdr w:val="nil"/>
    </w:rPr>
  </w:style>
  <w:style w:type="paragraph" w:customStyle="1" w:styleId="NCDTableTextNew">
    <w:name w:val="NCD.Table Text New"/>
    <w:qFormat/>
    <w:rsid w:val="001B5A3A"/>
    <w:pPr>
      <w:keepLines/>
      <w:spacing w:before="40" w:after="40"/>
    </w:pPr>
    <w:rPr>
      <w:rFonts w:ascii="Arial" w:eastAsia="Calibri" w:hAnsi="Arial" w:cs="Calibri"/>
      <w:color w:val="000000"/>
      <w:u w:color="000000"/>
      <w:bdr w:val="nil"/>
    </w:rPr>
  </w:style>
  <w:style w:type="paragraph" w:customStyle="1" w:styleId="NCDContentsTitle">
    <w:name w:val="NCD.Contents Title"/>
    <w:qFormat/>
    <w:rsid w:val="001B5A3A"/>
    <w:pPr>
      <w:spacing w:after="360"/>
    </w:pPr>
    <w:rPr>
      <w:rFonts w:ascii="Arial" w:eastAsia="Times New Roman" w:hAnsi="Arial"/>
      <w:color w:val="7F7F7F" w:themeColor="text1" w:themeTint="80"/>
      <w:sz w:val="36"/>
      <w:szCs w:val="32"/>
    </w:rPr>
  </w:style>
  <w:style w:type="character" w:customStyle="1" w:styleId="NCDBodyTextSpaceBeforeChar">
    <w:name w:val="NCD.Body Text Space Before Char"/>
    <w:basedOn w:val="DefaultParagraphFont"/>
    <w:link w:val="NCDBodyTextSpaceBefore"/>
    <w:rsid w:val="001B5A3A"/>
    <w:rPr>
      <w:rFonts w:ascii="Arial" w:eastAsia="Calibri" w:hAnsi="Arial" w:cs="Calibri"/>
      <w:color w:val="000000" w:themeColor="text1"/>
      <w:sz w:val="24"/>
      <w:szCs w:val="24"/>
      <w:u w:color="000000"/>
      <w:bdr w:val="nil"/>
    </w:rPr>
  </w:style>
  <w:style w:type="paragraph" w:customStyle="1" w:styleId="EndNoteBibliography">
    <w:name w:val="EndNote Bibliography"/>
    <w:basedOn w:val="Normal"/>
    <w:link w:val="EndNoteBibliographyChar"/>
    <w:rsid w:val="001B5A3A"/>
    <w:pPr>
      <w:spacing w:after="240" w:line="240" w:lineRule="auto"/>
      <w:ind w:left="720" w:hanging="720"/>
    </w:pPr>
    <w:rPr>
      <w:rFonts w:eastAsiaTheme="minorHAnsi" w:cs="Arial"/>
      <w:noProof/>
      <w:kern w:val="0"/>
      <w:szCs w:val="22"/>
    </w:rPr>
  </w:style>
  <w:style w:type="character" w:customStyle="1" w:styleId="EndNoteBibliographyChar">
    <w:name w:val="EndNote Bibliography Char"/>
    <w:basedOn w:val="DefaultParagraphFont"/>
    <w:link w:val="EndNoteBibliography"/>
    <w:rsid w:val="001B5A3A"/>
    <w:rPr>
      <w:rFonts w:ascii="Arial" w:eastAsiaTheme="minorHAnsi" w:hAnsi="Arial" w:cs="Arial"/>
      <w:noProof/>
      <w:sz w:val="24"/>
      <w:szCs w:val="22"/>
    </w:rPr>
  </w:style>
  <w:style w:type="paragraph" w:customStyle="1" w:styleId="EndNoteBibliographyTitle">
    <w:name w:val="EndNote Bibliography Title"/>
    <w:basedOn w:val="Normal"/>
    <w:link w:val="EndNoteBibliographyTitleChar"/>
    <w:rsid w:val="001B5A3A"/>
    <w:pPr>
      <w:spacing w:after="0" w:line="276" w:lineRule="auto"/>
      <w:jc w:val="center"/>
    </w:pPr>
    <w:rPr>
      <w:rFonts w:eastAsia="Calibri" w:cs="Arial"/>
      <w:noProof/>
      <w:kern w:val="0"/>
    </w:rPr>
  </w:style>
  <w:style w:type="character" w:customStyle="1" w:styleId="EndNoteBibliographyTitleChar">
    <w:name w:val="EndNote Bibliography Title Char"/>
    <w:basedOn w:val="ReferenceChar"/>
    <w:link w:val="EndNoteBibliographyTitle"/>
    <w:rsid w:val="001B5A3A"/>
    <w:rPr>
      <w:rFonts w:ascii="Arial" w:eastAsia="Calibri" w:hAnsi="Arial" w:cs="Arial"/>
      <w:noProof/>
      <w:sz w:val="24"/>
      <w:szCs w:val="24"/>
    </w:rPr>
  </w:style>
  <w:style w:type="paragraph" w:customStyle="1" w:styleId="listitem">
    <w:name w:val="list_item"/>
    <w:basedOn w:val="Normal"/>
    <w:rsid w:val="001B5A3A"/>
    <w:pPr>
      <w:spacing w:before="100" w:beforeAutospacing="1" w:after="100" w:afterAutospacing="1" w:line="240" w:lineRule="auto"/>
    </w:pPr>
    <w:rPr>
      <w:rFonts w:ascii="Times New Roman" w:eastAsia="Times New Roman" w:hAnsi="Times New Roman"/>
      <w:kern w:val="0"/>
    </w:rPr>
  </w:style>
  <w:style w:type="character" w:customStyle="1" w:styleId="label">
    <w:name w:val="label"/>
    <w:basedOn w:val="DefaultParagraphFont"/>
    <w:rsid w:val="001B5A3A"/>
  </w:style>
  <w:style w:type="paragraph" w:customStyle="1" w:styleId="NCDLetterofTransmittalBodyText">
    <w:name w:val="NCD.Letter of Transmittal Body Text"/>
    <w:basedOn w:val="Normal"/>
    <w:qFormat/>
    <w:rsid w:val="001B5A3A"/>
    <w:pPr>
      <w:autoSpaceDE w:val="0"/>
      <w:autoSpaceDN w:val="0"/>
      <w:spacing w:after="240" w:line="240" w:lineRule="auto"/>
    </w:pPr>
    <w:rPr>
      <w:rFonts w:eastAsia="Times New Roman" w:cs="Arial"/>
      <w:kern w:val="0"/>
    </w:rPr>
  </w:style>
  <w:style w:type="paragraph" w:customStyle="1" w:styleId="Heading3noTOC">
    <w:name w:val="Heading 3 no TOC"/>
    <w:qFormat/>
    <w:rsid w:val="001B5A3A"/>
    <w:pPr>
      <w:keepNext/>
      <w:spacing w:before="360" w:after="240"/>
    </w:pPr>
    <w:rPr>
      <w:rFonts w:ascii="Arial" w:eastAsia="Calibri" w:hAnsi="Arial" w:cs="Arial"/>
      <w:b/>
      <w:sz w:val="24"/>
      <w:szCs w:val="24"/>
    </w:rPr>
  </w:style>
  <w:style w:type="paragraph" w:customStyle="1" w:styleId="NCDAppendixHeading3">
    <w:name w:val="NCD.Appendix Heading 3"/>
    <w:qFormat/>
    <w:rsid w:val="001B5A3A"/>
    <w:pPr>
      <w:spacing w:after="240" w:line="276" w:lineRule="auto"/>
    </w:pPr>
    <w:rPr>
      <w:rFonts w:ascii="Arial" w:eastAsia="Calibri" w:hAnsi="Arial" w:cs="Calibri"/>
      <w:b/>
      <w:color w:val="45B0E1" w:themeColor="accent1" w:themeTint="99"/>
      <w:sz w:val="24"/>
      <w:szCs w:val="24"/>
      <w:u w:color="000000"/>
      <w:bdr w:val="nil"/>
    </w:rPr>
  </w:style>
  <w:style w:type="paragraph" w:customStyle="1" w:styleId="ncdbodytextspacebefore0">
    <w:name w:val="ncdbodytextspacebefore"/>
    <w:basedOn w:val="Normal"/>
    <w:rsid w:val="001B5A3A"/>
    <w:pPr>
      <w:spacing w:before="240" w:after="360" w:line="360" w:lineRule="auto"/>
    </w:pPr>
    <w:rPr>
      <w:rFonts w:eastAsiaTheme="minorHAnsi" w:cs="Arial"/>
      <w:color w:val="000000"/>
      <w:kern w:val="0"/>
    </w:rPr>
  </w:style>
  <w:style w:type="character" w:customStyle="1" w:styleId="Mention1">
    <w:name w:val="Mention1"/>
    <w:basedOn w:val="DefaultParagraphFont"/>
    <w:uiPriority w:val="99"/>
    <w:semiHidden/>
    <w:unhideWhenUsed/>
    <w:rsid w:val="001B5A3A"/>
    <w:rPr>
      <w:color w:val="2B579A"/>
      <w:shd w:val="clear" w:color="auto" w:fill="E6E6E6"/>
    </w:rPr>
  </w:style>
  <w:style w:type="character" w:customStyle="1" w:styleId="Mention2">
    <w:name w:val="Mention2"/>
    <w:basedOn w:val="DefaultParagraphFont"/>
    <w:uiPriority w:val="99"/>
    <w:semiHidden/>
    <w:unhideWhenUsed/>
    <w:rsid w:val="001B5A3A"/>
    <w:rPr>
      <w:color w:val="2B579A"/>
      <w:shd w:val="clear" w:color="auto" w:fill="E6E6E6"/>
    </w:rPr>
  </w:style>
  <w:style w:type="character" w:customStyle="1" w:styleId="Mention3">
    <w:name w:val="Mention3"/>
    <w:basedOn w:val="DefaultParagraphFont"/>
    <w:uiPriority w:val="99"/>
    <w:semiHidden/>
    <w:unhideWhenUsed/>
    <w:rsid w:val="001B5A3A"/>
    <w:rPr>
      <w:color w:val="2B579A"/>
      <w:shd w:val="clear" w:color="auto" w:fill="E6E6E6"/>
    </w:rPr>
  </w:style>
  <w:style w:type="paragraph" w:customStyle="1" w:styleId="LetterofTransmittalBodyText">
    <w:name w:val="Letter of Transmittal Body Text"/>
    <w:basedOn w:val="Normal"/>
    <w:qFormat/>
    <w:rsid w:val="001B5A3A"/>
    <w:pPr>
      <w:autoSpaceDE w:val="0"/>
      <w:autoSpaceDN w:val="0"/>
      <w:spacing w:after="200" w:line="240" w:lineRule="auto"/>
    </w:pPr>
    <w:rPr>
      <w:rFonts w:eastAsia="Times New Roman" w:cs="Arial"/>
      <w:kern w:val="0"/>
    </w:rPr>
  </w:style>
  <w:style w:type="paragraph" w:customStyle="1" w:styleId="NumberedList2">
    <w:name w:val="Numbered List 2"/>
    <w:basedOn w:val="NCDBodyTextSpaceBefore"/>
    <w:link w:val="NumberedList2Char"/>
    <w:qFormat/>
    <w:rsid w:val="001B5A3A"/>
    <w:pPr>
      <w:numPr>
        <w:ilvl w:val="1"/>
        <w:numId w:val="23"/>
      </w:numPr>
      <w:ind w:left="0" w:firstLine="0"/>
    </w:pPr>
  </w:style>
  <w:style w:type="character" w:customStyle="1" w:styleId="NumberedList2Char">
    <w:name w:val="Numbered List 2 Char"/>
    <w:basedOn w:val="NCDBodyTextSpaceBeforeChar"/>
    <w:link w:val="NumberedList2"/>
    <w:rsid w:val="001B5A3A"/>
    <w:rPr>
      <w:rFonts w:ascii="Arial" w:eastAsia="Calibri" w:hAnsi="Arial" w:cs="Calibri"/>
      <w:color w:val="000000" w:themeColor="text1"/>
      <w:sz w:val="24"/>
      <w:szCs w:val="24"/>
      <w:u w:color="000000"/>
      <w:bdr w:val="nil"/>
    </w:rPr>
  </w:style>
  <w:style w:type="paragraph" w:customStyle="1" w:styleId="Pa8">
    <w:name w:val="Pa8"/>
    <w:basedOn w:val="Default"/>
    <w:next w:val="Default"/>
    <w:uiPriority w:val="99"/>
    <w:rsid w:val="001B5A3A"/>
    <w:pPr>
      <w:spacing w:before="120" w:line="201" w:lineRule="atLeast"/>
    </w:pPr>
    <w:rPr>
      <w:rFonts w:cstheme="minorBidi"/>
      <w:color w:val="auto"/>
    </w:rPr>
  </w:style>
  <w:style w:type="character" w:customStyle="1" w:styleId="A5">
    <w:name w:val="A5"/>
    <w:uiPriority w:val="99"/>
    <w:rsid w:val="001B5A3A"/>
    <w:rPr>
      <w:rFonts w:cs="Univers LT Std 45 Light"/>
      <w:color w:val="211D1E"/>
      <w:sz w:val="11"/>
      <w:szCs w:val="11"/>
    </w:rPr>
  </w:style>
  <w:style w:type="paragraph" w:customStyle="1" w:styleId="NCDExtract">
    <w:name w:val="NCD.Extract"/>
    <w:basedOn w:val="NCDBodyText"/>
    <w:qFormat/>
    <w:rsid w:val="00647A2E"/>
    <w:pPr>
      <w:suppressAutoHyphens/>
      <w:ind w:left="1440" w:right="1440"/>
      <w:jc w:val="both"/>
    </w:pPr>
    <w:rPr>
      <w:rFonts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doi.org/10.1377/hlthaff.2022.00475" TargetMode="External"/><Relationship Id="rId13" Type="http://schemas.openxmlformats.org/officeDocument/2006/relationships/hyperlink" Target="https://www.ncd.gov/report/an-extra/" TargetMode="External"/><Relationship Id="rId18" Type="http://schemas.openxmlformats.org/officeDocument/2006/relationships/hyperlink" Target="https://osteopathic.org/accreditation" TargetMode="External"/><Relationship Id="rId26" Type="http://schemas.openxmlformats.org/officeDocument/2006/relationships/hyperlink" Target="https://www.aamc.org/about-us/mission-areas/medical-education/cbme" TargetMode="External"/><Relationship Id="rId3" Type="http://schemas.openxmlformats.org/officeDocument/2006/relationships/hyperlink" Target="https://www.nimhd.nih.gov/sites/default/files/2024-09/nacmhd_workGrpOnHealthDisparitiesAndPeopleWithDisabilities_report_2023sept_0.pdf?utm_source=chatgpt.com" TargetMode="External"/><Relationship Id="rId21" Type="http://schemas.openxmlformats.org/officeDocument/2006/relationships/hyperlink" Target="https://www.ama-assn.org/about" TargetMode="External"/><Relationship Id="rId7" Type="http://schemas.openxmlformats.org/officeDocument/2006/relationships/hyperlink" Target="https://www.federalregister.gov/documents/2025/12/01/2025-21585/request-for-information-disability-clinical-care" TargetMode="External"/><Relationship Id="rId12" Type="http://schemas.openxmlformats.org/officeDocument/2006/relationships/hyperlink" Target="https://www.hhs.gov/civil-rights/for-individuals/disability/section-504-rehabilitation-act-of-1973/ocr-detailed-504-fact-sheet/index.html" TargetMode="External"/><Relationship Id="rId17" Type="http://schemas.openxmlformats.org/officeDocument/2006/relationships/hyperlink" Target="https://www.acgme.org/globalassets/pdfs/disabilitysummit/acgmedisabilitysummitproceedingsdigital.pdf" TargetMode="External"/><Relationship Id="rId25" Type="http://schemas.openxmlformats.org/officeDocument/2006/relationships/hyperlink" Target="https://www.aamc.org/about-us/excellence-academic-medicine/disability-accessibility?utm_source=chatgpt.com" TargetMode="External"/><Relationship Id="rId2" Type="http://schemas.openxmlformats.org/officeDocument/2006/relationships/hyperlink" Target="https://www.nimhd.nih.gov/sites/default/files/2024-09/nacmhd_workGrpOnHealthDisparitiesAndPeopleWithDisabilities_report_2023sept_0.pdf?utm_source=chatgpt.com" TargetMode="External"/><Relationship Id="rId16" Type="http://schemas.openxmlformats.org/officeDocument/2006/relationships/hyperlink" Target="https://www.acgme.org/about/overview/" TargetMode="External"/><Relationship Id="rId20" Type="http://schemas.openxmlformats.org/officeDocument/2006/relationships/hyperlink" Target="https://www.jointcommission.org/standards/r3-report/r3-report-36" TargetMode="External"/><Relationship Id="rId1" Type="http://schemas.openxmlformats.org/officeDocument/2006/relationships/hyperlink" Target="https://doi.org/10.1377/hlthaff.2020.01452" TargetMode="External"/><Relationship Id="rId6" Type="http://schemas.openxmlformats.org/officeDocument/2006/relationships/hyperlink" Target="https://www.ncd.gov/report/framework-to-end-health-disparities-of-people-with-disabilities/" TargetMode="External"/><Relationship Id="rId11" Type="http://schemas.openxmlformats.org/officeDocument/2006/relationships/hyperlink" Target="doi:10.1016/j.dhjo.2014.11.002" TargetMode="External"/><Relationship Id="rId24" Type="http://schemas.openxmlformats.org/officeDocument/2006/relationships/hyperlink" Target="https://www.aamc.org/about-us" TargetMode="External"/><Relationship Id="rId5" Type="http://schemas.openxmlformats.org/officeDocument/2006/relationships/hyperlink" Target="https://www.nih.gov/news-events/news-releases/nih-designates-people-disabilities-population-health-disparities" TargetMode="External"/><Relationship Id="rId15" Type="http://schemas.openxmlformats.org/officeDocument/2006/relationships/hyperlink" Target="https://lcme.org/standards-and-rules/" TargetMode="External"/><Relationship Id="rId23" Type="http://schemas.openxmlformats.org/officeDocument/2006/relationships/hyperlink" Target="https://policysearch.ama-assn.org/policyfinder/detail/Medical%20Care%20of%20Persons%20with%20Disabilities%20H-90.968?uri=%2FAMADoc%2FHOD.xml-0-5283.xml" TargetMode="External"/><Relationship Id="rId28" Type="http://schemas.openxmlformats.org/officeDocument/2006/relationships/hyperlink" Target="https://nisonger.osu.edu/education-training/ohio-disability-health-program/corecompetenciesondisability/" TargetMode="External"/><Relationship Id="rId10" Type="http://schemas.openxmlformats.org/officeDocument/2006/relationships/hyperlink" Target="doi:10.5539/%20gjhs.v4n6p99" TargetMode="External"/><Relationship Id="rId19" Type="http://schemas.openxmlformats.org/officeDocument/2006/relationships/hyperlink" Target="https://osteopathic.org/wp-content/uploads/COCA-2026-COM-Continuing-Accreditation-Standards.pdf" TargetMode="External"/><Relationship Id="rId4" Type="http://schemas.openxmlformats.org/officeDocument/2006/relationships/hyperlink" Target="https://doi.org/10.1016/j.dhjo.2025.102021" TargetMode="External"/><Relationship Id="rId9" Type="http://schemas.openxmlformats.org/officeDocument/2006/relationships/hyperlink" Target="https://doi.org/10.1023/A:1010621705591" TargetMode="External"/><Relationship Id="rId14" Type="http://schemas.openxmlformats.org/officeDocument/2006/relationships/hyperlink" Target="https://lcme.org/about/" TargetMode="External"/><Relationship Id="rId22" Type="http://schemas.openxmlformats.org/officeDocument/2006/relationships/hyperlink" Target="https://policysearch.ama-assn.org/policyfinder/detail/Medical%20Care%20of%20Persons%20with%20Disabilities%20H-90.968?uri=%2FAMADoc%2FHOD.xml-0-5283.xml" TargetMode="External"/><Relationship Id="rId27" Type="http://schemas.openxmlformats.org/officeDocument/2006/relationships/hyperlink" Target="https://www.usmle.org/bulletin-information/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3715095-3261-487E-98D8-D3D20AB7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33</Pages>
  <Words>6650</Words>
  <Characters>39501</Characters>
  <Application>Microsoft Office Word</Application>
  <DocSecurity>0</DocSecurity>
  <Lines>681</Lines>
  <Paragraphs>221</Paragraphs>
  <ScaleCrop>false</ScaleCrop>
  <HeadingPairs>
    <vt:vector size="2" baseType="variant">
      <vt:variant>
        <vt:lpstr>Title</vt:lpstr>
      </vt:variant>
      <vt:variant>
        <vt:i4>1</vt:i4>
      </vt:variant>
    </vt:vector>
  </HeadingPairs>
  <TitlesOfParts>
    <vt:vector size="1" baseType="lpstr">
      <vt:lpstr>A Public Health Failure: The Lack of Disability Clinical Care and Competency Training of Medical Professionals</vt:lpstr>
    </vt:vector>
  </TitlesOfParts>
  <Company/>
  <LinksUpToDate>false</LinksUpToDate>
  <CharactersWithSpaces>45930</CharactersWithSpaces>
  <SharedDoc>false</SharedDoc>
  <HLinks>
    <vt:vector size="450" baseType="variant">
      <vt:variant>
        <vt:i4>1048641</vt:i4>
      </vt:variant>
      <vt:variant>
        <vt:i4>144</vt:i4>
      </vt:variant>
      <vt:variant>
        <vt:i4>0</vt:i4>
      </vt:variant>
      <vt:variant>
        <vt:i4>5</vt:i4>
      </vt:variant>
      <vt:variant>
        <vt:lpwstr>https://www.ncd.gov/policy-areas/technology/</vt:lpwstr>
      </vt:variant>
      <vt:variant>
        <vt:lpwstr/>
      </vt:variant>
      <vt:variant>
        <vt:i4>458777</vt:i4>
      </vt:variant>
      <vt:variant>
        <vt:i4>141</vt:i4>
      </vt:variant>
      <vt:variant>
        <vt:i4>0</vt:i4>
      </vt:variant>
      <vt:variant>
        <vt:i4>5</vt:i4>
      </vt:variant>
      <vt:variant>
        <vt:lpwstr>https://www.ncd.gov/newsroom/employment/</vt:lpwstr>
      </vt:variant>
      <vt:variant>
        <vt:lpwstr/>
      </vt:variant>
      <vt:variant>
        <vt:i4>3866665</vt:i4>
      </vt:variant>
      <vt:variant>
        <vt:i4>138</vt:i4>
      </vt:variant>
      <vt:variant>
        <vt:i4>0</vt:i4>
      </vt:variant>
      <vt:variant>
        <vt:i4>5</vt:i4>
      </vt:variant>
      <vt:variant>
        <vt:lpwstr>https://www.ncd.gov/policy-areas/education/</vt:lpwstr>
      </vt:variant>
      <vt:variant>
        <vt:lpwstr/>
      </vt:variant>
      <vt:variant>
        <vt:i4>1572872</vt:i4>
      </vt:variant>
      <vt:variant>
        <vt:i4>135</vt:i4>
      </vt:variant>
      <vt:variant>
        <vt:i4>0</vt:i4>
      </vt:variant>
      <vt:variant>
        <vt:i4>5</vt:i4>
      </vt:variant>
      <vt:variant>
        <vt:lpwstr>https://www.ncd.gov/newsroom/transportation/</vt:lpwstr>
      </vt:variant>
      <vt:variant>
        <vt:lpwstr/>
      </vt:variant>
      <vt:variant>
        <vt:i4>1638469</vt:i4>
      </vt:variant>
      <vt:variant>
        <vt:i4>132</vt:i4>
      </vt:variant>
      <vt:variant>
        <vt:i4>0</vt:i4>
      </vt:variant>
      <vt:variant>
        <vt:i4>5</vt:i4>
      </vt:variant>
      <vt:variant>
        <vt:lpwstr>https://www.ncd.gov/policy-areas/health-care/</vt:lpwstr>
      </vt:variant>
      <vt:variant>
        <vt:lpwstr/>
      </vt:variant>
      <vt:variant>
        <vt:i4>1048627</vt:i4>
      </vt:variant>
      <vt:variant>
        <vt:i4>125</vt:i4>
      </vt:variant>
      <vt:variant>
        <vt:i4>0</vt:i4>
      </vt:variant>
      <vt:variant>
        <vt:i4>5</vt:i4>
      </vt:variant>
      <vt:variant>
        <vt:lpwstr/>
      </vt:variant>
      <vt:variant>
        <vt:lpwstr>_Toc221899941</vt:lpwstr>
      </vt:variant>
      <vt:variant>
        <vt:i4>1048627</vt:i4>
      </vt:variant>
      <vt:variant>
        <vt:i4>119</vt:i4>
      </vt:variant>
      <vt:variant>
        <vt:i4>0</vt:i4>
      </vt:variant>
      <vt:variant>
        <vt:i4>5</vt:i4>
      </vt:variant>
      <vt:variant>
        <vt:lpwstr/>
      </vt:variant>
      <vt:variant>
        <vt:lpwstr>_Toc221899940</vt:lpwstr>
      </vt:variant>
      <vt:variant>
        <vt:i4>1507379</vt:i4>
      </vt:variant>
      <vt:variant>
        <vt:i4>113</vt:i4>
      </vt:variant>
      <vt:variant>
        <vt:i4>0</vt:i4>
      </vt:variant>
      <vt:variant>
        <vt:i4>5</vt:i4>
      </vt:variant>
      <vt:variant>
        <vt:lpwstr/>
      </vt:variant>
      <vt:variant>
        <vt:lpwstr>_Toc221899939</vt:lpwstr>
      </vt:variant>
      <vt:variant>
        <vt:i4>1507379</vt:i4>
      </vt:variant>
      <vt:variant>
        <vt:i4>107</vt:i4>
      </vt:variant>
      <vt:variant>
        <vt:i4>0</vt:i4>
      </vt:variant>
      <vt:variant>
        <vt:i4>5</vt:i4>
      </vt:variant>
      <vt:variant>
        <vt:lpwstr/>
      </vt:variant>
      <vt:variant>
        <vt:lpwstr>_Toc221899938</vt:lpwstr>
      </vt:variant>
      <vt:variant>
        <vt:i4>1507379</vt:i4>
      </vt:variant>
      <vt:variant>
        <vt:i4>101</vt:i4>
      </vt:variant>
      <vt:variant>
        <vt:i4>0</vt:i4>
      </vt:variant>
      <vt:variant>
        <vt:i4>5</vt:i4>
      </vt:variant>
      <vt:variant>
        <vt:lpwstr/>
      </vt:variant>
      <vt:variant>
        <vt:lpwstr>_Toc221899937</vt:lpwstr>
      </vt:variant>
      <vt:variant>
        <vt:i4>1507379</vt:i4>
      </vt:variant>
      <vt:variant>
        <vt:i4>95</vt:i4>
      </vt:variant>
      <vt:variant>
        <vt:i4>0</vt:i4>
      </vt:variant>
      <vt:variant>
        <vt:i4>5</vt:i4>
      </vt:variant>
      <vt:variant>
        <vt:lpwstr/>
      </vt:variant>
      <vt:variant>
        <vt:lpwstr>_Toc221899936</vt:lpwstr>
      </vt:variant>
      <vt:variant>
        <vt:i4>1507379</vt:i4>
      </vt:variant>
      <vt:variant>
        <vt:i4>89</vt:i4>
      </vt:variant>
      <vt:variant>
        <vt:i4>0</vt:i4>
      </vt:variant>
      <vt:variant>
        <vt:i4>5</vt:i4>
      </vt:variant>
      <vt:variant>
        <vt:lpwstr/>
      </vt:variant>
      <vt:variant>
        <vt:lpwstr>_Toc221899935</vt:lpwstr>
      </vt:variant>
      <vt:variant>
        <vt:i4>1507379</vt:i4>
      </vt:variant>
      <vt:variant>
        <vt:i4>83</vt:i4>
      </vt:variant>
      <vt:variant>
        <vt:i4>0</vt:i4>
      </vt:variant>
      <vt:variant>
        <vt:i4>5</vt:i4>
      </vt:variant>
      <vt:variant>
        <vt:lpwstr/>
      </vt:variant>
      <vt:variant>
        <vt:lpwstr>_Toc221899934</vt:lpwstr>
      </vt:variant>
      <vt:variant>
        <vt:i4>1507379</vt:i4>
      </vt:variant>
      <vt:variant>
        <vt:i4>77</vt:i4>
      </vt:variant>
      <vt:variant>
        <vt:i4>0</vt:i4>
      </vt:variant>
      <vt:variant>
        <vt:i4>5</vt:i4>
      </vt:variant>
      <vt:variant>
        <vt:lpwstr/>
      </vt:variant>
      <vt:variant>
        <vt:lpwstr>_Toc221899933</vt:lpwstr>
      </vt:variant>
      <vt:variant>
        <vt:i4>1507379</vt:i4>
      </vt:variant>
      <vt:variant>
        <vt:i4>71</vt:i4>
      </vt:variant>
      <vt:variant>
        <vt:i4>0</vt:i4>
      </vt:variant>
      <vt:variant>
        <vt:i4>5</vt:i4>
      </vt:variant>
      <vt:variant>
        <vt:lpwstr/>
      </vt:variant>
      <vt:variant>
        <vt:lpwstr>_Toc221899932</vt:lpwstr>
      </vt:variant>
      <vt:variant>
        <vt:i4>1507379</vt:i4>
      </vt:variant>
      <vt:variant>
        <vt:i4>65</vt:i4>
      </vt:variant>
      <vt:variant>
        <vt:i4>0</vt:i4>
      </vt:variant>
      <vt:variant>
        <vt:i4>5</vt:i4>
      </vt:variant>
      <vt:variant>
        <vt:lpwstr/>
      </vt:variant>
      <vt:variant>
        <vt:lpwstr>_Toc221899931</vt:lpwstr>
      </vt:variant>
      <vt:variant>
        <vt:i4>1507379</vt:i4>
      </vt:variant>
      <vt:variant>
        <vt:i4>59</vt:i4>
      </vt:variant>
      <vt:variant>
        <vt:i4>0</vt:i4>
      </vt:variant>
      <vt:variant>
        <vt:i4>5</vt:i4>
      </vt:variant>
      <vt:variant>
        <vt:lpwstr/>
      </vt:variant>
      <vt:variant>
        <vt:lpwstr>_Toc221899930</vt:lpwstr>
      </vt:variant>
      <vt:variant>
        <vt:i4>1441843</vt:i4>
      </vt:variant>
      <vt:variant>
        <vt:i4>53</vt:i4>
      </vt:variant>
      <vt:variant>
        <vt:i4>0</vt:i4>
      </vt:variant>
      <vt:variant>
        <vt:i4>5</vt:i4>
      </vt:variant>
      <vt:variant>
        <vt:lpwstr/>
      </vt:variant>
      <vt:variant>
        <vt:lpwstr>_Toc221899929</vt:lpwstr>
      </vt:variant>
      <vt:variant>
        <vt:i4>1441843</vt:i4>
      </vt:variant>
      <vt:variant>
        <vt:i4>47</vt:i4>
      </vt:variant>
      <vt:variant>
        <vt:i4>0</vt:i4>
      </vt:variant>
      <vt:variant>
        <vt:i4>5</vt:i4>
      </vt:variant>
      <vt:variant>
        <vt:lpwstr/>
      </vt:variant>
      <vt:variant>
        <vt:lpwstr>_Toc221899928</vt:lpwstr>
      </vt:variant>
      <vt:variant>
        <vt:i4>1441843</vt:i4>
      </vt:variant>
      <vt:variant>
        <vt:i4>41</vt:i4>
      </vt:variant>
      <vt:variant>
        <vt:i4>0</vt:i4>
      </vt:variant>
      <vt:variant>
        <vt:i4>5</vt:i4>
      </vt:variant>
      <vt:variant>
        <vt:lpwstr/>
      </vt:variant>
      <vt:variant>
        <vt:lpwstr>_Toc221899927</vt:lpwstr>
      </vt:variant>
      <vt:variant>
        <vt:i4>1441843</vt:i4>
      </vt:variant>
      <vt:variant>
        <vt:i4>35</vt:i4>
      </vt:variant>
      <vt:variant>
        <vt:i4>0</vt:i4>
      </vt:variant>
      <vt:variant>
        <vt:i4>5</vt:i4>
      </vt:variant>
      <vt:variant>
        <vt:lpwstr/>
      </vt:variant>
      <vt:variant>
        <vt:lpwstr>_Toc221899926</vt:lpwstr>
      </vt:variant>
      <vt:variant>
        <vt:i4>1441843</vt:i4>
      </vt:variant>
      <vt:variant>
        <vt:i4>29</vt:i4>
      </vt:variant>
      <vt:variant>
        <vt:i4>0</vt:i4>
      </vt:variant>
      <vt:variant>
        <vt:i4>5</vt:i4>
      </vt:variant>
      <vt:variant>
        <vt:lpwstr/>
      </vt:variant>
      <vt:variant>
        <vt:lpwstr>_Toc221899925</vt:lpwstr>
      </vt:variant>
      <vt:variant>
        <vt:i4>1441843</vt:i4>
      </vt:variant>
      <vt:variant>
        <vt:i4>23</vt:i4>
      </vt:variant>
      <vt:variant>
        <vt:i4>0</vt:i4>
      </vt:variant>
      <vt:variant>
        <vt:i4>5</vt:i4>
      </vt:variant>
      <vt:variant>
        <vt:lpwstr/>
      </vt:variant>
      <vt:variant>
        <vt:lpwstr>_Toc221899924</vt:lpwstr>
      </vt:variant>
      <vt:variant>
        <vt:i4>1441843</vt:i4>
      </vt:variant>
      <vt:variant>
        <vt:i4>17</vt:i4>
      </vt:variant>
      <vt:variant>
        <vt:i4>0</vt:i4>
      </vt:variant>
      <vt:variant>
        <vt:i4>5</vt:i4>
      </vt:variant>
      <vt:variant>
        <vt:lpwstr/>
      </vt:variant>
      <vt:variant>
        <vt:lpwstr>_Toc221899923</vt:lpwstr>
      </vt:variant>
      <vt:variant>
        <vt:i4>1441843</vt:i4>
      </vt:variant>
      <vt:variant>
        <vt:i4>11</vt:i4>
      </vt:variant>
      <vt:variant>
        <vt:i4>0</vt:i4>
      </vt:variant>
      <vt:variant>
        <vt:i4>5</vt:i4>
      </vt:variant>
      <vt:variant>
        <vt:lpwstr/>
      </vt:variant>
      <vt:variant>
        <vt:lpwstr>_Toc221899922</vt:lpwstr>
      </vt:variant>
      <vt:variant>
        <vt:i4>1441843</vt:i4>
      </vt:variant>
      <vt:variant>
        <vt:i4>5</vt:i4>
      </vt:variant>
      <vt:variant>
        <vt:i4>0</vt:i4>
      </vt:variant>
      <vt:variant>
        <vt:i4>5</vt:i4>
      </vt:variant>
      <vt:variant>
        <vt:lpwstr/>
      </vt:variant>
      <vt:variant>
        <vt:lpwstr>_Toc221899921</vt:lpwstr>
      </vt:variant>
      <vt:variant>
        <vt:i4>8060988</vt:i4>
      </vt:variant>
      <vt:variant>
        <vt:i4>0</vt:i4>
      </vt:variant>
      <vt:variant>
        <vt:i4>0</vt:i4>
      </vt:variant>
      <vt:variant>
        <vt:i4>5</vt:i4>
      </vt:variant>
      <vt:variant>
        <vt:lpwstr>https://www.ncd.gov/report/national-disability-policy-a-progress-report-february-1986/</vt:lpwstr>
      </vt:variant>
      <vt:variant>
        <vt:lpwstr/>
      </vt:variant>
      <vt:variant>
        <vt:i4>983122</vt:i4>
      </vt:variant>
      <vt:variant>
        <vt:i4>159</vt:i4>
      </vt:variant>
      <vt:variant>
        <vt:i4>0</vt:i4>
      </vt:variant>
      <vt:variant>
        <vt:i4>5</vt:i4>
      </vt:variant>
      <vt:variant>
        <vt:lpwstr>https://cdt.org/wp-content/uploads/2025/10/2025-10-28-CDT-AI-IEP-Brief-1.pdf</vt:lpwstr>
      </vt:variant>
      <vt:variant>
        <vt:lpwstr/>
      </vt:variant>
      <vt:variant>
        <vt:i4>5963798</vt:i4>
      </vt:variant>
      <vt:variant>
        <vt:i4>156</vt:i4>
      </vt:variant>
      <vt:variant>
        <vt:i4>0</vt:i4>
      </vt:variant>
      <vt:variant>
        <vt:i4>5</vt:i4>
      </vt:variant>
      <vt:variant>
        <vt:lpwstr>https://www.upturn.org/work/calculated-need/</vt:lpwstr>
      </vt:variant>
      <vt:variant>
        <vt:lpwstr/>
      </vt:variant>
      <vt:variant>
        <vt:i4>7405673</vt:i4>
      </vt:variant>
      <vt:variant>
        <vt:i4>153</vt:i4>
      </vt:variant>
      <vt:variant>
        <vt:i4>0</vt:i4>
      </vt:variant>
      <vt:variant>
        <vt:i4>5</vt:i4>
      </vt:variant>
      <vt:variant>
        <vt:lpwstr>https://www.bazelon.org/ai-regulation-is-under-threat-heres-what-it-means-for-people-with-disabilities/</vt:lpwstr>
      </vt:variant>
      <vt:variant>
        <vt:lpwstr/>
      </vt:variant>
      <vt:variant>
        <vt:i4>7602224</vt:i4>
      </vt:variant>
      <vt:variant>
        <vt:i4>150</vt:i4>
      </vt:variant>
      <vt:variant>
        <vt:i4>0</vt:i4>
      </vt:variant>
      <vt:variant>
        <vt:i4>5</vt:i4>
      </vt:variant>
      <vt:variant>
        <vt:lpwstr>https://www.hhs.gov/press-room/acl-launches-phase-1-caregiver-ai-prize-competition.html</vt:lpwstr>
      </vt:variant>
      <vt:variant>
        <vt:lpwstr/>
      </vt:variant>
      <vt:variant>
        <vt:i4>6881335</vt:i4>
      </vt:variant>
      <vt:variant>
        <vt:i4>147</vt:i4>
      </vt:variant>
      <vt:variant>
        <vt:i4>0</vt:i4>
      </vt:variant>
      <vt:variant>
        <vt:i4>5</vt:i4>
      </vt:variant>
      <vt:variant>
        <vt:lpwstr>https://www.hhs.gov/press-room/hhs-backs-ai-innovation-for-americas-caregivers.html</vt:lpwstr>
      </vt:variant>
      <vt:variant>
        <vt:lpwstr/>
      </vt:variant>
      <vt:variant>
        <vt:i4>3801187</vt:i4>
      </vt:variant>
      <vt:variant>
        <vt:i4>144</vt:i4>
      </vt:variant>
      <vt:variant>
        <vt:i4>0</vt:i4>
      </vt:variant>
      <vt:variant>
        <vt:i4>5</vt:i4>
      </vt:variant>
      <vt:variant>
        <vt:lpwstr>https://www.ada.gov/resources/ai-guidance/</vt:lpwstr>
      </vt:variant>
      <vt:variant>
        <vt:lpwstr/>
      </vt:variant>
      <vt:variant>
        <vt:i4>1310785</vt:i4>
      </vt:variant>
      <vt:variant>
        <vt:i4>141</vt:i4>
      </vt:variant>
      <vt:variant>
        <vt:i4>0</vt:i4>
      </vt:variant>
      <vt:variant>
        <vt:i4>5</vt:i4>
      </vt:variant>
      <vt:variant>
        <vt:lpwstr>https://www.cnbc.com/2025/11/08/adhd-autism-dyslexia-jobs-careers-ai-agents-success.html</vt:lpwstr>
      </vt:variant>
      <vt:variant>
        <vt:lpwstr/>
      </vt:variant>
      <vt:variant>
        <vt:i4>2949158</vt:i4>
      </vt:variant>
      <vt:variant>
        <vt:i4>138</vt:i4>
      </vt:variant>
      <vt:variant>
        <vt:i4>0</vt:i4>
      </vt:variant>
      <vt:variant>
        <vt:i4>5</vt:i4>
      </vt:variant>
      <vt:variant>
        <vt:lpwstr>https://www.disabilityscoop.com/2025/11/07/microsoft-tweaking-ai-depictions-of-people-with-autism-other-conditions/</vt:lpwstr>
      </vt:variant>
      <vt:variant>
        <vt:lpwstr/>
      </vt:variant>
      <vt:variant>
        <vt:i4>6553698</vt:i4>
      </vt:variant>
      <vt:variant>
        <vt:i4>135</vt:i4>
      </vt:variant>
      <vt:variant>
        <vt:i4>0</vt:i4>
      </vt:variant>
      <vt:variant>
        <vt:i4>5</vt:i4>
      </vt:variant>
      <vt:variant>
        <vt:lpwstr>https://www.aapd.com/globallogic-and-american-association-of-people-with-disabilities-aapd-announce-partnership-to-establish-inclusive-ai-governance-framework/</vt:lpwstr>
      </vt:variant>
      <vt:variant>
        <vt:lpwstr/>
      </vt:variant>
      <vt:variant>
        <vt:i4>6881328</vt:i4>
      </vt:variant>
      <vt:variant>
        <vt:i4>132</vt:i4>
      </vt:variant>
      <vt:variant>
        <vt:i4>0</vt:i4>
      </vt:variant>
      <vt:variant>
        <vt:i4>5</vt:i4>
      </vt:variant>
      <vt:variant>
        <vt:lpwstr>https://www.nytimes.com/2025/12/09/us/politics/rubio-state-department-font.html</vt:lpwstr>
      </vt:variant>
      <vt:variant>
        <vt:lpwstr/>
      </vt:variant>
      <vt:variant>
        <vt:i4>8126569</vt:i4>
      </vt:variant>
      <vt:variant>
        <vt:i4>126</vt:i4>
      </vt:variant>
      <vt:variant>
        <vt:i4>0</vt:i4>
      </vt:variant>
      <vt:variant>
        <vt:i4>5</vt:i4>
      </vt:variant>
      <vt:variant>
        <vt:lpwstr>https://www.shrm.org/about/press-room/workforce-participation-among-people-with-disabilities-reaches-h0</vt:lpwstr>
      </vt:variant>
      <vt:variant>
        <vt:lpwstr/>
      </vt:variant>
      <vt:variant>
        <vt:i4>2228263</vt:i4>
      </vt:variant>
      <vt:variant>
        <vt:i4>123</vt:i4>
      </vt:variant>
      <vt:variant>
        <vt:i4>0</vt:i4>
      </vt:variant>
      <vt:variant>
        <vt:i4>5</vt:i4>
      </vt:variant>
      <vt:variant>
        <vt:lpwstr>https://www.ncd.gov/letters/2018-11-28-ncd-letter-to-congress-regarding-introduction-of-keeping-all-students-safe-act/</vt:lpwstr>
      </vt:variant>
      <vt:variant>
        <vt:lpwstr/>
      </vt:variant>
      <vt:variant>
        <vt:i4>1376341</vt:i4>
      </vt:variant>
      <vt:variant>
        <vt:i4>120</vt:i4>
      </vt:variant>
      <vt:variant>
        <vt:i4>0</vt:i4>
      </vt:variant>
      <vt:variant>
        <vt:i4>5</vt:i4>
      </vt:variant>
      <vt:variant>
        <vt:lpwstr>https://democrats-edworkforce.house.gov/imo/media/doc/keeping_all_students_safe_act_of_2025_fact_sheet.pdf</vt:lpwstr>
      </vt:variant>
      <vt:variant>
        <vt:lpwstr/>
      </vt:variant>
      <vt:variant>
        <vt:i4>6226011</vt:i4>
      </vt:variant>
      <vt:variant>
        <vt:i4>117</vt:i4>
      </vt:variant>
      <vt:variant>
        <vt:i4>0</vt:i4>
      </vt:variant>
      <vt:variant>
        <vt:i4>5</vt:i4>
      </vt:variant>
      <vt:variant>
        <vt:lpwstr>https://beyer.house.gov/news/documentsingle.aspx?DocumentID=8743</vt:lpwstr>
      </vt:variant>
      <vt:variant>
        <vt:lpwstr/>
      </vt:variant>
      <vt:variant>
        <vt:i4>5111830</vt:i4>
      </vt:variant>
      <vt:variant>
        <vt:i4>111</vt:i4>
      </vt:variant>
      <vt:variant>
        <vt:i4>0</vt:i4>
      </vt:variant>
      <vt:variant>
        <vt:i4>5</vt:i4>
      </vt:variant>
      <vt:variant>
        <vt:lpwstr>https://www.disabilityscoop.com/2026/01/09/ed-department-pushing-ahead-with-plan-to-offload-special-education/31800/</vt:lpwstr>
      </vt:variant>
      <vt:variant>
        <vt:lpwstr/>
      </vt:variant>
      <vt:variant>
        <vt:i4>7077922</vt:i4>
      </vt:variant>
      <vt:variant>
        <vt:i4>102</vt:i4>
      </vt:variant>
      <vt:variant>
        <vt:i4>0</vt:i4>
      </vt:variant>
      <vt:variant>
        <vt:i4>5</vt:i4>
      </vt:variant>
      <vt:variant>
        <vt:lpwstr>https://www.usatoday.com/story/news/politics/2025/12/06/education-department-civil-rights-office-trump/87643095007/</vt:lpwstr>
      </vt:variant>
      <vt:variant>
        <vt:lpwstr/>
      </vt:variant>
      <vt:variant>
        <vt:i4>4521991</vt:i4>
      </vt:variant>
      <vt:variant>
        <vt:i4>99</vt:i4>
      </vt:variant>
      <vt:variant>
        <vt:i4>0</vt:i4>
      </vt:variant>
      <vt:variant>
        <vt:i4>5</vt:i4>
      </vt:variant>
      <vt:variant>
        <vt:lpwstr>https://www.americanprogress.org/article/the-trump-administrations-recent-special-education-layoffs-will-have-major-long-term-impacts-on-disabled-children-and-students/</vt:lpwstr>
      </vt:variant>
      <vt:variant>
        <vt:lpwstr/>
      </vt:variant>
      <vt:variant>
        <vt:i4>1048603</vt:i4>
      </vt:variant>
      <vt:variant>
        <vt:i4>96</vt:i4>
      </vt:variant>
      <vt:variant>
        <vt:i4>0</vt:i4>
      </vt:variant>
      <vt:variant>
        <vt:i4>5</vt:i4>
      </vt:variant>
      <vt:variant>
        <vt:lpwstr>https://www.gao.gov/assets/gao-26-108320.pdf</vt:lpwstr>
      </vt:variant>
      <vt:variant>
        <vt:lpwstr/>
      </vt:variant>
      <vt:variant>
        <vt:i4>2097200</vt:i4>
      </vt:variant>
      <vt:variant>
        <vt:i4>93</vt:i4>
      </vt:variant>
      <vt:variant>
        <vt:i4>0</vt:i4>
      </vt:variant>
      <vt:variant>
        <vt:i4>5</vt:i4>
      </vt:variant>
      <vt:variant>
        <vt:lpwstr>https://www.k12dive.com/news/court-order-canceled-school-mental-health-grants-unlawful/808537/</vt:lpwstr>
      </vt:variant>
      <vt:variant>
        <vt:lpwstr/>
      </vt:variant>
      <vt:variant>
        <vt:i4>3473507</vt:i4>
      </vt:variant>
      <vt:variant>
        <vt:i4>90</vt:i4>
      </vt:variant>
      <vt:variant>
        <vt:i4>0</vt:i4>
      </vt:variant>
      <vt:variant>
        <vt:i4>5</vt:i4>
      </vt:variant>
      <vt:variant>
        <vt:lpwstr>https://www.edweek.org/teaching-learning/trump-canceled-millions-for-special-education-teacher-training-whats-next/2025/09</vt:lpwstr>
      </vt:variant>
      <vt:variant>
        <vt:lpwstr/>
      </vt:variant>
      <vt:variant>
        <vt:i4>7733300</vt:i4>
      </vt:variant>
      <vt:variant>
        <vt:i4>87</vt:i4>
      </vt:variant>
      <vt:variant>
        <vt:i4>0</vt:i4>
      </vt:variant>
      <vt:variant>
        <vt:i4>5</vt:i4>
      </vt:variant>
      <vt:variant>
        <vt:lpwstr>https://www.transportation.gov/resources/individuals/aviation-consumer-protection/2025-airline-submissions-complaints-received</vt:lpwstr>
      </vt:variant>
      <vt:variant>
        <vt:lpwstr/>
      </vt:variant>
      <vt:variant>
        <vt:i4>5963792</vt:i4>
      </vt:variant>
      <vt:variant>
        <vt:i4>84</vt:i4>
      </vt:variant>
      <vt:variant>
        <vt:i4>0</vt:i4>
      </vt:variant>
      <vt:variant>
        <vt:i4>5</vt:i4>
      </vt:variant>
      <vt:variant>
        <vt:lpwstr>https://www.transportation.gov/airconsumer/american-airlines-order-2025-12-5</vt:lpwstr>
      </vt:variant>
      <vt:variant>
        <vt:lpwstr/>
      </vt:variant>
      <vt:variant>
        <vt:i4>8061024</vt:i4>
      </vt:variant>
      <vt:variant>
        <vt:i4>81</vt:i4>
      </vt:variant>
      <vt:variant>
        <vt:i4>0</vt:i4>
      </vt:variant>
      <vt:variant>
        <vt:i4>5</vt:i4>
      </vt:variant>
      <vt:variant>
        <vt:lpwstr>https://www.transportation.gov/briefing-room/dot-issues-landmark-50-million-penalty-against-american-airlines-its-treatment</vt:lpwstr>
      </vt:variant>
      <vt:variant>
        <vt:lpwstr/>
      </vt:variant>
      <vt:variant>
        <vt:i4>6029312</vt:i4>
      </vt:variant>
      <vt:variant>
        <vt:i4>78</vt:i4>
      </vt:variant>
      <vt:variant>
        <vt:i4>0</vt:i4>
      </vt:variant>
      <vt:variant>
        <vt:i4>5</vt:i4>
      </vt:variant>
      <vt:variant>
        <vt:lpwstr>https://www.transportation.gov/airconsumer/disabilitybillofrights</vt:lpwstr>
      </vt:variant>
      <vt:variant>
        <vt:lpwstr/>
      </vt:variant>
      <vt:variant>
        <vt:i4>2228279</vt:i4>
      </vt:variant>
      <vt:variant>
        <vt:i4>75</vt:i4>
      </vt:variant>
      <vt:variant>
        <vt:i4>0</vt:i4>
      </vt:variant>
      <vt:variant>
        <vt:i4>5</vt:i4>
      </vt:variant>
      <vt:variant>
        <vt:lpwstr>https://www.federalregister.gov/documents/2025/09/30/2025-18980/ensuring-safe-accommodations-for-air-travelers-with-disabilities-using-wheelchairs</vt:lpwstr>
      </vt:variant>
      <vt:variant>
        <vt:lpwstr/>
      </vt:variant>
      <vt:variant>
        <vt:i4>393284</vt:i4>
      </vt:variant>
      <vt:variant>
        <vt:i4>72</vt:i4>
      </vt:variant>
      <vt:variant>
        <vt:i4>0</vt:i4>
      </vt:variant>
      <vt:variant>
        <vt:i4>5</vt:i4>
      </vt:variant>
      <vt:variant>
        <vt:lpwstr>https://www.ncd.gov/letters/2025-06-17-ncd-letter-to-dot-secretary-on-enforcement-discretion-of-wheelchair-rule/</vt:lpwstr>
      </vt:variant>
      <vt:variant>
        <vt:lpwstr/>
      </vt:variant>
      <vt:variant>
        <vt:i4>2555953</vt:i4>
      </vt:variant>
      <vt:variant>
        <vt:i4>69</vt:i4>
      </vt:variant>
      <vt:variant>
        <vt:i4>0</vt:i4>
      </vt:variant>
      <vt:variant>
        <vt:i4>5</vt:i4>
      </vt:variant>
      <vt:variant>
        <vt:lpwstr>https://www.federalregister.gov/documents/2025/06/10/2025-10250/ensuring-safe-accommodations-for-air-travelers-with-disabilities-using-wheelchairs</vt:lpwstr>
      </vt:variant>
      <vt:variant>
        <vt:lpwstr/>
      </vt:variant>
      <vt:variant>
        <vt:i4>5570572</vt:i4>
      </vt:variant>
      <vt:variant>
        <vt:i4>66</vt:i4>
      </vt:variant>
      <vt:variant>
        <vt:i4>0</vt:i4>
      </vt:variant>
      <vt:variant>
        <vt:i4>5</vt:i4>
      </vt:variant>
      <vt:variant>
        <vt:lpwstr>https://www.startribune.com/new-company-providing-on-demand-rides-for-people-with-disabilities/601460751</vt:lpwstr>
      </vt:variant>
      <vt:variant>
        <vt:lpwstr/>
      </vt:variant>
      <vt:variant>
        <vt:i4>4259913</vt:i4>
      </vt:variant>
      <vt:variant>
        <vt:i4>63</vt:i4>
      </vt:variant>
      <vt:variant>
        <vt:i4>0</vt:i4>
      </vt:variant>
      <vt:variant>
        <vt:i4>5</vt:i4>
      </vt:variant>
      <vt:variant>
        <vt:lpwstr>https://www.ncd.gov/assets/uploads/reports/2025/ncd-ground-transportation-mobility-disabilities-2025.pdf</vt:lpwstr>
      </vt:variant>
      <vt:variant>
        <vt:lpwstr/>
      </vt:variant>
      <vt:variant>
        <vt:i4>6422647</vt:i4>
      </vt:variant>
      <vt:variant>
        <vt:i4>60</vt:i4>
      </vt:variant>
      <vt:variant>
        <vt:i4>0</vt:i4>
      </vt:variant>
      <vt:variant>
        <vt:i4>5</vt:i4>
      </vt:variant>
      <vt:variant>
        <vt:lpwstr>https://dpcpsi.nih.gov/sites/g/files/mnhszr346/files/345PM-NIH-Strategic-Plan-for-Disability-Health-Research-FY26-FY30-Politis.pdf</vt:lpwstr>
      </vt:variant>
      <vt:variant>
        <vt:lpwstr/>
      </vt:variant>
      <vt:variant>
        <vt:i4>720907</vt:i4>
      </vt:variant>
      <vt:variant>
        <vt:i4>57</vt:i4>
      </vt:variant>
      <vt:variant>
        <vt:i4>0</vt:i4>
      </vt:variant>
      <vt:variant>
        <vt:i4>5</vt:i4>
      </vt:variant>
      <vt:variant>
        <vt:lpwstr>https://dpcpsi.nih.gov/council/jan-29-2026-agenda</vt:lpwstr>
      </vt:variant>
      <vt:variant>
        <vt:lpwstr/>
      </vt:variant>
      <vt:variant>
        <vt:i4>1179668</vt:i4>
      </vt:variant>
      <vt:variant>
        <vt:i4>54</vt:i4>
      </vt:variant>
      <vt:variant>
        <vt:i4>0</vt:i4>
      </vt:variant>
      <vt:variant>
        <vt:i4>5</vt:i4>
      </vt:variant>
      <vt:variant>
        <vt:lpwstr>https://www.gao.gov/assets/gao-26-107120.pdf</vt:lpwstr>
      </vt:variant>
      <vt:variant>
        <vt:lpwstr/>
      </vt:variant>
      <vt:variant>
        <vt:i4>6750308</vt:i4>
      </vt:variant>
      <vt:variant>
        <vt:i4>51</vt:i4>
      </vt:variant>
      <vt:variant>
        <vt:i4>0</vt:i4>
      </vt:variant>
      <vt:variant>
        <vt:i4>5</vt:i4>
      </vt:variant>
      <vt:variant>
        <vt:lpwstr>https://doi.org/10.1002/dvr2.70047</vt:lpwstr>
      </vt:variant>
      <vt:variant>
        <vt:lpwstr/>
      </vt:variant>
      <vt:variant>
        <vt:i4>6094931</vt:i4>
      </vt:variant>
      <vt:variant>
        <vt:i4>48</vt:i4>
      </vt:variant>
      <vt:variant>
        <vt:i4>0</vt:i4>
      </vt:variant>
      <vt:variant>
        <vt:i4>5</vt:i4>
      </vt:variant>
      <vt:variant>
        <vt:lpwstr>https://www.medscape.com/viewarticle/new-moms-disabilities-show-low-receipt-important-perinatal-2025a1000y3h</vt:lpwstr>
      </vt:variant>
      <vt:variant>
        <vt:lpwstr/>
      </vt:variant>
      <vt:variant>
        <vt:i4>6094931</vt:i4>
      </vt:variant>
      <vt:variant>
        <vt:i4>45</vt:i4>
      </vt:variant>
      <vt:variant>
        <vt:i4>0</vt:i4>
      </vt:variant>
      <vt:variant>
        <vt:i4>5</vt:i4>
      </vt:variant>
      <vt:variant>
        <vt:lpwstr>https://www.medscape.com/viewarticle/new-moms-disabilities-show-low-receipt-important-perinatal-2025a1000y3h</vt:lpwstr>
      </vt:variant>
      <vt:variant>
        <vt:lpwstr/>
      </vt:variant>
      <vt:variant>
        <vt:i4>2556023</vt:i4>
      </vt:variant>
      <vt:variant>
        <vt:i4>42</vt:i4>
      </vt:variant>
      <vt:variant>
        <vt:i4>0</vt:i4>
      </vt:variant>
      <vt:variant>
        <vt:i4>5</vt:i4>
      </vt:variant>
      <vt:variant>
        <vt:lpwstr>https://autisticadvocacy.org/2025/09/leading-autism-and-disability-organizations-call-for-decision-making-based-on-quality-science-and-compassion-for-the-autism-community/</vt:lpwstr>
      </vt:variant>
      <vt:variant>
        <vt:lpwstr/>
      </vt:variant>
      <vt:variant>
        <vt:i4>2883646</vt:i4>
      </vt:variant>
      <vt:variant>
        <vt:i4>36</vt:i4>
      </vt:variant>
      <vt:variant>
        <vt:i4>0</vt:i4>
      </vt:variant>
      <vt:variant>
        <vt:i4>5</vt:i4>
      </vt:variant>
      <vt:variant>
        <vt:lpwstr>https://acl.gov/programs/aging-and-disability-networks/national-network-university</vt:lpwstr>
      </vt:variant>
      <vt:variant>
        <vt:lpwstr/>
      </vt:variant>
      <vt:variant>
        <vt:i4>7995496</vt:i4>
      </vt:variant>
      <vt:variant>
        <vt:i4>30</vt:i4>
      </vt:variant>
      <vt:variant>
        <vt:i4>0</vt:i4>
      </vt:variant>
      <vt:variant>
        <vt:i4>5</vt:i4>
      </vt:variant>
      <vt:variant>
        <vt:lpwstr>https://www.washingtonpost.com/politics/2025/12/13/va-veterans-affairs-job-cuts-trump/</vt:lpwstr>
      </vt:variant>
      <vt:variant>
        <vt:lpwstr/>
      </vt:variant>
      <vt:variant>
        <vt:i4>1769563</vt:i4>
      </vt:variant>
      <vt:variant>
        <vt:i4>27</vt:i4>
      </vt:variant>
      <vt:variant>
        <vt:i4>0</vt:i4>
      </vt:variant>
      <vt:variant>
        <vt:i4>5</vt:i4>
      </vt:variant>
      <vt:variant>
        <vt:lpwstr>https://www.hhs.gov/press-room/hhs-cleanup-federal-nursing-home-minimum-staffing-standards-rule-expands-access-rural-tribal-health-care.html</vt:lpwstr>
      </vt:variant>
      <vt:variant>
        <vt:lpwstr/>
      </vt:variant>
      <vt:variant>
        <vt:i4>5570632</vt:i4>
      </vt:variant>
      <vt:variant>
        <vt:i4>24</vt:i4>
      </vt:variant>
      <vt:variant>
        <vt:i4>0</vt:i4>
      </vt:variant>
      <vt:variant>
        <vt:i4>5</vt:i4>
      </vt:variant>
      <vt:variant>
        <vt:lpwstr>https://www.federalregister.gov/documents/2025/12/03/2025-21792/medicare-and-medicaid-programs-repeal-of-minimum-staffing-standards-for-long-term-care-facilities</vt:lpwstr>
      </vt:variant>
      <vt:variant>
        <vt:lpwstr/>
      </vt:variant>
      <vt:variant>
        <vt:i4>2293800</vt:i4>
      </vt:variant>
      <vt:variant>
        <vt:i4>21</vt:i4>
      </vt:variant>
      <vt:variant>
        <vt:i4>0</vt:i4>
      </vt:variant>
      <vt:variant>
        <vt:i4>5</vt:i4>
      </vt:variant>
      <vt:variant>
        <vt:lpwstr>https://www.cms.gov/newsroom/fact-sheets/medicare-and-medicaid-programs-minimum-staffing-standards-long-term-care-facilities-and-medicaid-0</vt:lpwstr>
      </vt:variant>
      <vt:variant>
        <vt:lpwstr/>
      </vt:variant>
      <vt:variant>
        <vt:i4>1966098</vt:i4>
      </vt:variant>
      <vt:variant>
        <vt:i4>18</vt:i4>
      </vt:variant>
      <vt:variant>
        <vt:i4>0</vt:i4>
      </vt:variant>
      <vt:variant>
        <vt:i4>5</vt:i4>
      </vt:variant>
      <vt:variant>
        <vt:lpwstr>https://www.federalregister.gov/documents/2024/05/10/2024-08273/medicare-and-medicaid-programs-minimum-staffing-standards-for-long-term-care-facilities-and-medicaid</vt:lpwstr>
      </vt:variant>
      <vt:variant>
        <vt:lpwstr/>
      </vt:variant>
      <vt:variant>
        <vt:i4>1966094</vt:i4>
      </vt:variant>
      <vt:variant>
        <vt:i4>15</vt:i4>
      </vt:variant>
      <vt:variant>
        <vt:i4>0</vt:i4>
      </vt:variant>
      <vt:variant>
        <vt:i4>5</vt:i4>
      </vt:variant>
      <vt:variant>
        <vt:lpwstr>https://thearc.resourcespace.com/pages/download.php?direct=1&amp;noattach=true&amp;ref=10984&amp;ext=pdf&amp;k=0bcae0efde</vt:lpwstr>
      </vt:variant>
      <vt:variant>
        <vt:lpwstr/>
      </vt:variant>
      <vt:variant>
        <vt:i4>7536749</vt:i4>
      </vt:variant>
      <vt:variant>
        <vt:i4>12</vt:i4>
      </vt:variant>
      <vt:variant>
        <vt:i4>0</vt:i4>
      </vt:variant>
      <vt:variant>
        <vt:i4>5</vt:i4>
      </vt:variant>
      <vt:variant>
        <vt:lpwstr>https://www.bazelon.org/wp-content/uploads/2025/12/2025-Medicaid-Guide.pdf</vt:lpwstr>
      </vt:variant>
      <vt:variant>
        <vt:lpwstr/>
      </vt:variant>
      <vt:variant>
        <vt:i4>1245274</vt:i4>
      </vt:variant>
      <vt:variant>
        <vt:i4>9</vt:i4>
      </vt:variant>
      <vt:variant>
        <vt:i4>0</vt:i4>
      </vt:variant>
      <vt:variant>
        <vt:i4>5</vt:i4>
      </vt:variant>
      <vt:variant>
        <vt:lpwstr>https://www.bazelon.org/wp-content/uploads/2025/12/NHeLP_JIA_Bazelon-Public_CommunityEngagementExemptions_122025.pdf</vt:lpwstr>
      </vt:variant>
      <vt:variant>
        <vt:lpwstr/>
      </vt:variant>
      <vt:variant>
        <vt:i4>1441802</vt:i4>
      </vt:variant>
      <vt:variant>
        <vt:i4>6</vt:i4>
      </vt:variant>
      <vt:variant>
        <vt:i4>0</vt:i4>
      </vt:variant>
      <vt:variant>
        <vt:i4>5</vt:i4>
      </vt:variant>
      <vt:variant>
        <vt:lpwstr>https://www.npr.org/2025/10/05/nx-s1-5558321/states-are-cutting-medicaid-provider-payments-long-before-trump-cuts-hit</vt:lpwstr>
      </vt:variant>
      <vt:variant>
        <vt:lpwstr/>
      </vt:variant>
      <vt:variant>
        <vt:i4>1441802</vt:i4>
      </vt:variant>
      <vt:variant>
        <vt:i4>3</vt:i4>
      </vt:variant>
      <vt:variant>
        <vt:i4>0</vt:i4>
      </vt:variant>
      <vt:variant>
        <vt:i4>5</vt:i4>
      </vt:variant>
      <vt:variant>
        <vt:lpwstr>https://www.npr.org/2025/10/05/nx-s1-5558321/states-are-cutting-medicaid-provider-payments-long-before-trump-cuts-hit</vt:lpwstr>
      </vt:variant>
      <vt:variant>
        <vt:lpwstr/>
      </vt:variant>
      <vt:variant>
        <vt:i4>720975</vt:i4>
      </vt:variant>
      <vt:variant>
        <vt:i4>0</vt:i4>
      </vt:variant>
      <vt:variant>
        <vt:i4>0</vt:i4>
      </vt:variant>
      <vt:variant>
        <vt:i4>5</vt:i4>
      </vt:variant>
      <vt:variant>
        <vt:lpwstr>https://caseforinclusion.org/application/files/3517/6834/5465/Case_for_Inclusion_Data_Snapshot_Jan_2026.pdf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Public Health Failure: The Lack of Disability Clinical Care and Competency Training of Medical Professionals</dc:title>
  <dc:subject/>
  <dc:creator>National Council on Disability</dc:creator>
  <cp:keywords/>
  <dc:description/>
  <cp:lastModifiedBy>Nicholas Sabula</cp:lastModifiedBy>
  <cp:revision>183</cp:revision>
  <dcterms:created xsi:type="dcterms:W3CDTF">2026-09-08T16:16:00Z</dcterms:created>
  <dcterms:modified xsi:type="dcterms:W3CDTF">2026-11-03T14:55:00Z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1-bc88714345d2_Enabled">
    <vt:lpwstr>true</vt:lpwstr>
  </property>
  <property fmtid="{D5CDD505-2E9C-101B-9397-08002B2CF9AE}" pid="3" name="MSIP_Label_defa4170-0d19-0005-0001-bc88714345d2_SetDate">
    <vt:lpwstr>2026-03-17T18:20:43Z</vt:lpwstr>
  </property>
  <property fmtid="{D5CDD505-2E9C-101B-9397-08002B2CF9AE}" pid="4" name="MSIP_Label_defa4170-0d19-0005-0001-bc88714345d2_Method">
    <vt:lpwstr>Privileged</vt:lpwstr>
  </property>
  <property fmtid="{D5CDD505-2E9C-101B-9397-08002B2CF9AE}" pid="5" name="MSIP_Label_defa4170-0d19-0005-0001-bc88714345d2_Name">
    <vt:lpwstr>defa4170-0d19-0005-0001-bc88714345d2</vt:lpwstr>
  </property>
  <property fmtid="{D5CDD505-2E9C-101B-9397-08002B2CF9AE}" pid="6" name="MSIP_Label_defa4170-0d19-0005-0001-bc88714345d2_SiteId">
    <vt:lpwstr>7c22ce8e-fbaf-4a3f-9e5e-4b7f18978fd4</vt:lpwstr>
  </property>
  <property fmtid="{D5CDD505-2E9C-101B-9397-08002B2CF9AE}" pid="7" name="MSIP_Label_defa4170-0d19-0005-0001-bc88714345d2_ActionId">
    <vt:lpwstr>eed10744-d169-4443-bd7f-113e6792dad3</vt:lpwstr>
  </property>
  <property fmtid="{D5CDD505-2E9C-101B-9397-08002B2CF9AE}" pid="8" name="MSIP_Label_defa4170-0d19-0005-0001-bc88714345d2_ContentBits">
    <vt:lpwstr>0</vt:lpwstr>
  </property>
  <property fmtid="{D5CDD505-2E9C-101B-9397-08002B2CF9AE}" pid="9" name="MSIP_Label_defa4170-0d19-0005-0001-bc88714345d2_Tag">
    <vt:lpwstr>10, 0, 1, 1</vt:lpwstr>
  </property>
</Properties>
</file>